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line="590" w:lineRule="exact"/>
        <w:jc w:val="left"/>
        <w:rPr>
          <w:rFonts w:hint="default" w:ascii="Times New Roman" w:hAnsi="黑体" w:eastAsia="黑体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黑体" w:eastAsia="黑体"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/>
          <w:kern w:val="0"/>
          <w:sz w:val="32"/>
          <w:szCs w:val="32"/>
          <w:lang w:val="en-US" w:eastAsia="zh-CN"/>
        </w:rPr>
        <w:t>5</w:t>
      </w:r>
    </w:p>
    <w:p>
      <w:pPr>
        <w:overflowPunct w:val="0"/>
        <w:adjustRightInd w:val="0"/>
        <w:snapToGrid w:val="0"/>
        <w:spacing w:beforeLines="50" w:afterLines="50" w:line="240" w:lineRule="auto"/>
        <w:jc w:val="center"/>
        <w:rPr>
          <w:rFonts w:hint="eastAsia" w:ascii="方正书宋简体" w:hAnsi="宋体" w:eastAsia="方正书宋简体"/>
          <w:b/>
          <w:color w:val="auto"/>
          <w:spacing w:val="-14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书宋简体" w:hAnsi="宋体" w:eastAsia="方正书宋简体"/>
          <w:b/>
          <w:color w:val="auto"/>
          <w:spacing w:val="-14"/>
          <w:kern w:val="0"/>
          <w:sz w:val="44"/>
          <w:szCs w:val="44"/>
          <w:highlight w:val="none"/>
          <w:lang w:eastAsia="zh-CN"/>
        </w:rPr>
        <w:t>温州市</w:t>
      </w:r>
      <w:r>
        <w:rPr>
          <w:rFonts w:hint="eastAsia" w:ascii="方正书宋简体" w:hAnsi="宋体" w:eastAsia="方正书宋简体"/>
          <w:b/>
          <w:color w:val="auto"/>
          <w:spacing w:val="-14"/>
          <w:kern w:val="0"/>
          <w:sz w:val="44"/>
          <w:szCs w:val="44"/>
          <w:highlight w:val="none"/>
        </w:rPr>
        <w:t>医疗保障定点零售药店评估表</w:t>
      </w:r>
    </w:p>
    <w:p>
      <w:pPr>
        <w:overflowPunct w:val="0"/>
        <w:spacing w:line="240" w:lineRule="auto"/>
        <w:rPr>
          <w:rFonts w:eastAsia="仿宋_GB2312"/>
          <w:color w:val="auto"/>
          <w:sz w:val="24"/>
          <w:highlight w:val="none"/>
        </w:rPr>
      </w:pPr>
      <w:r>
        <w:rPr>
          <w:rFonts w:hint="eastAsia" w:eastAsia="仿宋_GB2312"/>
          <w:color w:val="auto"/>
          <w:sz w:val="24"/>
          <w:highlight w:val="none"/>
        </w:rPr>
        <w:t>零售药店名称：                                    地址：                              评估时间：</w:t>
      </w:r>
    </w:p>
    <w:tbl>
      <w:tblPr>
        <w:tblStyle w:val="5"/>
        <w:tblW w:w="1485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1"/>
        <w:gridCol w:w="614"/>
        <w:gridCol w:w="2430"/>
        <w:gridCol w:w="9061"/>
        <w:gridCol w:w="675"/>
        <w:gridCol w:w="675"/>
        <w:gridCol w:w="6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tblHeader/>
          <w:jc w:val="center"/>
        </w:trPr>
        <w:tc>
          <w:tcPr>
            <w:tcW w:w="70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指标类型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评估项目及分值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标</w:t>
            </w:r>
            <w:r>
              <w:rPr>
                <w:rFonts w:hint="eastAsia" w:ascii="黑体" w:hAnsi="黑体" w:eastAsia="黑体"/>
                <w:color w:val="auto"/>
                <w:sz w:val="24"/>
                <w:highlight w:val="none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准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自评情况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黑体" w:hAns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黑体" w:eastAsia="黑体"/>
                <w:color w:val="auto"/>
                <w:sz w:val="24"/>
                <w:highlight w:val="none"/>
              </w:rPr>
              <w:t>评估情况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ascii="黑体" w:hAnsi="黑体" w:eastAsia="黑体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4"/>
                <w:highlight w:val="no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0" w:hRule="atLeast"/>
          <w:jc w:val="center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  <w:t>基础指标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经营时间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在注册地址是否已正式经营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3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个月以上，“否”即为不合格。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药师配备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药店是否至少有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名取得执业药师资格证书或具有药学、临床药学、中药学专业技术资格证书的药师，且注册地在该零售药店所在地</w:t>
            </w:r>
            <w:r>
              <w:rPr>
                <w:rFonts w:hint="eastAsia" w:hAnsi="仿宋_GB2312" w:eastAsia="仿宋_GB2312"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hAnsi="仿宋_GB2312" w:eastAsia="仿宋_GB2312"/>
                <w:color w:val="auto"/>
                <w:kern w:val="0"/>
                <w:sz w:val="24"/>
                <w:highlight w:val="none"/>
              </w:rPr>
              <w:t>连续</w:t>
            </w:r>
            <w:r>
              <w:rPr>
                <w:rFonts w:hint="eastAsia" w:hAnsi="仿宋_GB2312" w:eastAsia="仿宋_GB2312"/>
                <w:color w:val="auto"/>
                <w:kern w:val="0"/>
                <w:sz w:val="24"/>
                <w:highlight w:val="none"/>
                <w:lang w:eastAsia="zh-CN"/>
              </w:rPr>
              <w:t>注册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hAnsi="仿宋_GB2312" w:eastAsia="仿宋_GB2312"/>
                <w:color w:val="auto"/>
                <w:kern w:val="0"/>
                <w:sz w:val="24"/>
                <w:highlight w:val="none"/>
              </w:rPr>
              <w:t>个月以上）。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药师是否已签订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年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及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以上劳动合同且在合同期内，“否”即为不合格。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医保管理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pacing w:val="-4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pacing w:val="-4"/>
                <w:sz w:val="24"/>
                <w:highlight w:val="none"/>
              </w:rPr>
              <w:t>是否至少有</w:t>
            </w:r>
            <w:r>
              <w:rPr>
                <w:rFonts w:ascii="Times New Roman" w:hAnsi="Times New Roman" w:eastAsia="仿宋_GB2312"/>
                <w:color w:val="auto"/>
                <w:spacing w:val="-4"/>
                <w:sz w:val="24"/>
                <w:highlight w:val="none"/>
              </w:rPr>
              <w:t>2</w:t>
            </w:r>
            <w:r>
              <w:rPr>
                <w:rFonts w:eastAsia="仿宋_GB2312"/>
                <w:color w:val="auto"/>
                <w:spacing w:val="-4"/>
                <w:sz w:val="24"/>
                <w:highlight w:val="none"/>
              </w:rPr>
              <w:t>名熟悉医疗保障法律法规和相关制度规定的专（兼）职医保管理人员负责管理医保费用，并签订</w:t>
            </w:r>
            <w:r>
              <w:rPr>
                <w:rFonts w:ascii="Times New Roman" w:hAnsi="Times New Roman" w:eastAsia="仿宋_GB2312"/>
                <w:color w:val="auto"/>
                <w:spacing w:val="-4"/>
                <w:sz w:val="24"/>
                <w:highlight w:val="none"/>
              </w:rPr>
              <w:t>1</w:t>
            </w:r>
            <w:r>
              <w:rPr>
                <w:rFonts w:eastAsia="仿宋_GB2312"/>
                <w:color w:val="auto"/>
                <w:spacing w:val="-4"/>
                <w:sz w:val="24"/>
                <w:highlight w:val="none"/>
              </w:rPr>
              <w:t>年</w:t>
            </w:r>
            <w:r>
              <w:rPr>
                <w:rFonts w:hint="eastAsia" w:eastAsia="仿宋_GB2312"/>
                <w:color w:val="auto"/>
                <w:spacing w:val="-4"/>
                <w:sz w:val="24"/>
                <w:highlight w:val="none"/>
              </w:rPr>
              <w:t>及</w:t>
            </w:r>
            <w:r>
              <w:rPr>
                <w:rFonts w:eastAsia="仿宋_GB2312"/>
                <w:color w:val="auto"/>
                <w:spacing w:val="-4"/>
                <w:sz w:val="24"/>
                <w:highlight w:val="none"/>
              </w:rPr>
              <w:t>以上劳动合同且在合同期内，“否”即为不合格。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5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药品管理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是否已按药品经营质量管理规范要求，开展药品分类分区管理，并对所售药品设立明确的医保用药标识，“否”即为不合格。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制度建设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是否具有符合医保协议管理要求的医保药品管理制度、财务管理制度、医保人员管理制度、统计信息管理制度和医保费用结算制度，“否”即为不合格。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信息系统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是否已确定系统开发商，并签订合作协议，“否”即为不合格。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7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基础数据库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是否已设立医保药品等基础数据库，并按规定使用国家统一的医保编码，“否”即为不合格。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8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药品价格政策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是否执行医疗保障行政部门制定医保药品支付标准政策，“否”即为不合格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4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9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信用制度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药店的法定代表人、主要负责人或实际控制人是否有被列入失信人名单的，“是”即为不合格。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81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其他不予受理的情形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零售药店是否有国家、省医保部门规定的其他不予受理情形，“是”即为不合格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01" w:type="dxa"/>
            <w:vMerge w:val="restart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  <w:t>评估指标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建立完善的</w:t>
            </w:r>
            <w:bookmarkStart w:id="0" w:name="_GoBack"/>
            <w:bookmarkEnd w:id="0"/>
            <w:r>
              <w:rPr>
                <w:rFonts w:eastAsia="仿宋_GB2312"/>
                <w:color w:val="auto"/>
                <w:sz w:val="24"/>
                <w:highlight w:val="none"/>
              </w:rPr>
              <w:t>医保药品管理制度（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建立包括医保人员工作制度、医保药品“进销存”制度、医保处方管理制度、医保刷卡管理制度、医保信息管理制度等零售药店医保药品管理制度。未建立制度扣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分；制度不健全，每少一个制度，扣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扣完为止。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建立完善的财务管理制度（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pStyle w:val="4"/>
              <w:jc w:val="both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未提供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近一年（不足一年的自开办之日算起）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审计报告此项不得分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。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未以单位名称开设基本账户扣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分，所有资金收支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未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通过本单位的基本账户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；财务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制度执行不到位，未做到账账相符、账实相符，发现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例扣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；未配备专（兼）职财务人员扣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分，配备兼职财务人员扣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分。扣完为止。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建立完善的医保人员管理制度（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建立健全零售药店负责人、医保管理负责人、执业药师、物价收费员、计算机信息管理人员、药品质量负责人等医保人员管理制度。未建立制度扣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分；制度不健全，扣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758"/>
              </w:tabs>
              <w:overflowPunct w:val="0"/>
              <w:spacing w:line="320" w:lineRule="exact"/>
              <w:jc w:val="lef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人员参保情况（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5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分）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pStyle w:val="7"/>
              <w:overflowPunct w:val="0"/>
              <w:autoSpaceDE/>
              <w:autoSpaceDN/>
              <w:spacing w:line="360" w:lineRule="exact"/>
              <w:jc w:val="both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按规定为所有从业人员在本单位按时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（自合同之日起）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 xml:space="preserve">、足额缴纳社会保险。发现一例未依法参保的不得分。 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sz w:val="24"/>
                <w:highlight w:val="none"/>
              </w:rPr>
              <w:t>信息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系统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管理（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pStyle w:val="4"/>
              <w:rPr>
                <w:rFonts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配备相关医保电子凭证设备、医保联网设施设备，并与其它网络间有安全隔离措施，与互联网物理隔离。未按要求配备，扣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；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严格按照医保局最新政策业务需求和技术规范完成配套改造工作，未按要求改造的，扣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分；未配备专业维护人员扣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分。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ascii="Calibri" w:hAnsi="Calibri" w:eastAsia="仿宋_GB2312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15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建立规范的药械进货管理制度（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药品采购记录必须注明药品的通用名称、生产厂商（中药材标明产地）、剂型、规格、批号、生产日期、有效期、批准文号、供货单位、数量、价格、购进日期。未按要求记录，发现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例扣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分。药品、器械等所有经营品种购进、销售均应明细如实录入“进、销、存”电算化管理信息系统。未按要求录入，发现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例扣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2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，最多扣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  <w:t>分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。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可查数据少于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</w:rPr>
              <w:t>3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个月的扣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eastAsia="仿宋_GB2312"/>
                <w:color w:val="auto"/>
                <w:sz w:val="24"/>
                <w:highlight w:val="none"/>
              </w:rPr>
              <w:t>分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3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个月到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年的扣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eastAsia="zh-CN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  <w:t>分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开展医保政策宣传</w:t>
            </w:r>
          </w:p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设立宣传栏、电子屏等向购药的参保人员宣传医保主要政策、购药流程等。未设立或未宣传扣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分，宣传方式和内容不规范的，扣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80" w:hRule="atLeast"/>
          <w:jc w:val="center"/>
        </w:trPr>
        <w:tc>
          <w:tcPr>
            <w:tcW w:w="701" w:type="dxa"/>
            <w:vMerge w:val="restart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  <w:t>评估指标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243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合理定价制度（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按照公平、合法、诚实守信原则对药品、医用材料、医疗器械等进行明码标价。定价或标识不规范的，发现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例扣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分，最多扣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分；有投诉举报价格的，发现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例扣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分，最多扣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151" w:hRule="atLeast"/>
          <w:jc w:val="center"/>
        </w:trPr>
        <w:tc>
          <w:tcPr>
            <w:tcW w:w="70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243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设置监控设备（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在收费结算处等公共场所安装监控设备，确保正常使用，角度正确，能清晰辨认出参保人员面部特征，并能提供不少于三个月不间断的监控影像资料。未安装扣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分，使用不正常或不能提供相关影像资料，扣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772" w:hRule="atLeast"/>
          <w:jc w:val="center"/>
        </w:trPr>
        <w:tc>
          <w:tcPr>
            <w:tcW w:w="70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default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243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具备稳定独立的营业场所（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营业面积应符合规定设置要求，能为参保人提供舒适的服务环境。设立医保药品专区或专柜，与非医保药品和其他用品分开摆放，有明确标识。医保药品专区或专柜设置符合规范，药品和医疗器械陈列面积不少于总经营面积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70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%，其他用品经营范围实行</w:t>
            </w:r>
            <w:r>
              <w:rPr>
                <w:rFonts w:eastAsia="仿宋_GB2312"/>
                <w:color w:val="auto"/>
                <w:sz w:val="24"/>
                <w:highlight w:val="none"/>
                <w:u w:val="none"/>
              </w:rPr>
              <w:t>正面清单制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。营业面积、专区、专柜设置不符合要求，扣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分；其他用品未严格执行正面清单制，扣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72" w:hRule="atLeast"/>
          <w:jc w:val="center"/>
        </w:trPr>
        <w:tc>
          <w:tcPr>
            <w:tcW w:w="70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243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对医保基金影响的预测性分析（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纳入定点后对医保基金影响的预测性分析报告应客观、正确，符合药店规模、经营收入和医保基金利用等实际情况。预测性分析报告不符合实际情况的扣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01" w:type="dxa"/>
            <w:vMerge w:val="continue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43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场所布局（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pStyle w:val="7"/>
              <w:widowControl/>
              <w:overflowPunct w:val="0"/>
              <w:autoSpaceDE/>
              <w:autoSpaceDN/>
              <w:jc w:val="both"/>
              <w:rPr>
                <w:rFonts w:ascii="Times New Roman" w:hAnsi="Times New Roman" w:eastAsia="仿宋_GB2312"/>
                <w:color w:val="auto"/>
                <w:highlight w:val="none"/>
              </w:rPr>
            </w:pPr>
            <w:r>
              <w:rPr>
                <w:rFonts w:ascii="Times New Roman" w:hAnsi="仿宋_GB2312" w:eastAsia="仿宋_GB2312"/>
                <w:color w:val="auto"/>
                <w:highlight w:val="none"/>
              </w:rPr>
              <w:t>与相近定点零售药店的最小行径间距大于</w:t>
            </w:r>
            <w:r>
              <w:rPr>
                <w:rFonts w:ascii="Times New Roman" w:hAnsi="Times New Roman" w:eastAsia="仿宋_GB2312"/>
                <w:color w:val="auto"/>
                <w:highlight w:val="none"/>
              </w:rPr>
              <w:t>500</w:t>
            </w:r>
            <w:r>
              <w:rPr>
                <w:rFonts w:ascii="Times New Roman" w:hAnsi="仿宋_GB2312" w:eastAsia="仿宋_GB2312"/>
                <w:color w:val="auto"/>
                <w:highlight w:val="none"/>
              </w:rPr>
              <w:t>米的加</w:t>
            </w:r>
            <w:r>
              <w:rPr>
                <w:rFonts w:ascii="Times New Roman" w:hAnsi="Times New Roman" w:eastAsia="仿宋_GB2312"/>
                <w:color w:val="auto"/>
                <w:highlight w:val="none"/>
              </w:rPr>
              <w:t>2</w:t>
            </w:r>
            <w:r>
              <w:rPr>
                <w:rFonts w:ascii="Times New Roman" w:hAnsi="仿宋_GB2312" w:eastAsia="仿宋_GB2312"/>
                <w:color w:val="auto"/>
                <w:highlight w:val="none"/>
              </w:rPr>
              <w:t>分</w:t>
            </w:r>
            <w:r>
              <w:rPr>
                <w:rFonts w:ascii="Times New Roman" w:hAnsi="仿宋_GB2312" w:eastAsia="仿宋_GB2312"/>
                <w:color w:val="auto"/>
                <w:kern w:val="2"/>
                <w:highlight w:val="none"/>
              </w:rPr>
              <w:t>；</w:t>
            </w:r>
            <w:r>
              <w:rPr>
                <w:rFonts w:ascii="Times New Roman" w:hAnsi="Times New Roman" w:eastAsia="仿宋_GB2312"/>
                <w:color w:val="auto"/>
                <w:kern w:val="2"/>
                <w:highlight w:val="none"/>
              </w:rPr>
              <w:t>大于1000米的加5</w:t>
            </w:r>
            <w:r>
              <w:rPr>
                <w:rFonts w:ascii="Times New Roman" w:hAnsi="仿宋_GB2312" w:eastAsia="仿宋_GB2312"/>
                <w:color w:val="auto"/>
                <w:kern w:val="2"/>
                <w:highlight w:val="none"/>
              </w:rPr>
              <w:t>分</w:t>
            </w:r>
            <w:r>
              <w:rPr>
                <w:rFonts w:ascii="Times New Roman" w:hAnsi="Times New Roman" w:eastAsia="仿宋_GB2312"/>
                <w:color w:val="auto"/>
                <w:kern w:val="2"/>
                <w:highlight w:val="none"/>
              </w:rPr>
              <w:t>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场所面积（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rPr>
                <w:rFonts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_GB2312" w:eastAsia="仿宋_GB2312"/>
                <w:color w:val="auto"/>
                <w:kern w:val="0"/>
                <w:sz w:val="24"/>
                <w:highlight w:val="none"/>
              </w:rPr>
              <w:t>建筑面积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120</w:t>
            </w:r>
            <w:r>
              <w:rPr>
                <w:rFonts w:hAnsi="仿宋_GB2312" w:eastAsia="仿宋_GB2312"/>
                <w:color w:val="auto"/>
                <w:kern w:val="0"/>
                <w:sz w:val="24"/>
                <w:highlight w:val="none"/>
              </w:rPr>
              <w:t>平方米及以上加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Ansi="仿宋_GB2312" w:eastAsia="仿宋_GB2312"/>
                <w:color w:val="auto"/>
                <w:kern w:val="0"/>
                <w:sz w:val="24"/>
                <w:highlight w:val="none"/>
              </w:rPr>
              <w:t>分；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200</w:t>
            </w:r>
            <w:r>
              <w:rPr>
                <w:rFonts w:hAnsi="仿宋_GB2312" w:eastAsia="仿宋_GB2312"/>
                <w:color w:val="auto"/>
                <w:kern w:val="0"/>
                <w:sz w:val="24"/>
                <w:highlight w:val="none"/>
              </w:rPr>
              <w:t>平方米及以上加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5</w:t>
            </w:r>
            <w:r>
              <w:rPr>
                <w:rFonts w:hAnsi="仿宋_GB2312" w:eastAsia="仿宋_GB2312"/>
                <w:color w:val="auto"/>
                <w:kern w:val="0"/>
                <w:sz w:val="24"/>
                <w:highlight w:val="none"/>
              </w:rPr>
              <w:t>分。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8" w:hRule="atLeast"/>
          <w:jc w:val="center"/>
        </w:trPr>
        <w:tc>
          <w:tcPr>
            <w:tcW w:w="701" w:type="dxa"/>
            <w:vMerge w:val="continue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tcBorders>
              <w:left w:val="nil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经营范围（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10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noWrap w:val="0"/>
            <w:vAlign w:val="center"/>
          </w:tcPr>
          <w:p>
            <w:pPr>
              <w:overflowPunct w:val="0"/>
              <w:rPr>
                <w:rFonts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_GB2312" w:eastAsia="仿宋_GB2312"/>
                <w:color w:val="auto"/>
                <w:kern w:val="0"/>
                <w:sz w:val="24"/>
                <w:highlight w:val="none"/>
              </w:rPr>
              <w:t>服务场所内不同时出售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保健品（蓝帽子标志除外）、</w:t>
            </w:r>
            <w:r>
              <w:rPr>
                <w:rFonts w:hAnsi="仿宋_GB2312" w:eastAsia="仿宋_GB2312"/>
                <w:color w:val="auto"/>
                <w:kern w:val="0"/>
                <w:sz w:val="24"/>
                <w:highlight w:val="none"/>
              </w:rPr>
              <w:t>食品、日用品、化妆品的，加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10</w:t>
            </w:r>
            <w:r>
              <w:rPr>
                <w:rFonts w:hAnsi="仿宋_GB2312" w:eastAsia="仿宋_GB2312"/>
                <w:color w:val="auto"/>
                <w:kern w:val="0"/>
                <w:sz w:val="24"/>
                <w:highlight w:val="none"/>
              </w:rPr>
              <w:t>分。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8" w:hRule="atLeast"/>
          <w:jc w:val="center"/>
        </w:trPr>
        <w:tc>
          <w:tcPr>
            <w:tcW w:w="701" w:type="dxa"/>
            <w:vMerge w:val="continue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14" w:type="dxa"/>
            <w:tcBorders>
              <w:left w:val="nil"/>
              <w:bottom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2430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药师配备（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overflowPunct w:val="0"/>
              <w:rPr>
                <w:rFonts w:eastAsia="仿宋_GB2312"/>
                <w:color w:val="auto"/>
                <w:kern w:val="0"/>
                <w:sz w:val="24"/>
                <w:highlight w:val="none"/>
              </w:rPr>
            </w:pPr>
            <w:r>
              <w:rPr>
                <w:rFonts w:hAnsi="仿宋_GB2312" w:eastAsia="仿宋_GB2312"/>
                <w:color w:val="auto"/>
                <w:kern w:val="0"/>
                <w:sz w:val="24"/>
                <w:highlight w:val="none"/>
              </w:rPr>
              <w:t>注册在本药店并在本药店专职服务的执业药师</w:t>
            </w:r>
            <w:r>
              <w:rPr>
                <w:rFonts w:hint="eastAsia" w:hAnsi="仿宋_GB2312" w:eastAsia="仿宋_GB2312"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hAnsi="仿宋_GB2312" w:eastAsia="仿宋_GB2312"/>
                <w:color w:val="auto"/>
                <w:kern w:val="0"/>
                <w:sz w:val="24"/>
                <w:highlight w:val="none"/>
              </w:rPr>
              <w:t>连续</w:t>
            </w:r>
            <w:r>
              <w:rPr>
                <w:rFonts w:hint="eastAsia" w:hAnsi="仿宋_GB2312" w:eastAsia="仿宋_GB2312"/>
                <w:color w:val="auto"/>
                <w:kern w:val="0"/>
                <w:sz w:val="24"/>
                <w:highlight w:val="none"/>
                <w:lang w:eastAsia="zh-CN"/>
              </w:rPr>
              <w:t>注册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hAnsi="仿宋_GB2312" w:eastAsia="仿宋_GB2312"/>
                <w:color w:val="auto"/>
                <w:kern w:val="0"/>
                <w:sz w:val="24"/>
                <w:highlight w:val="none"/>
              </w:rPr>
              <w:t>个月以上</w:t>
            </w:r>
            <w:r>
              <w:rPr>
                <w:rFonts w:hint="eastAsia" w:hAnsi="仿宋_GB2312" w:eastAsia="仿宋_GB2312"/>
                <w:color w:val="auto"/>
                <w:kern w:val="0"/>
                <w:sz w:val="24"/>
                <w:highlight w:val="none"/>
                <w:lang w:eastAsia="zh-CN"/>
              </w:rPr>
              <w:t>，如</w:t>
            </w:r>
            <w:r>
              <w:rPr>
                <w:rFonts w:hint="eastAsia" w:hAnsi="仿宋_GB2312" w:eastAsia="仿宋_GB2312"/>
                <w:color w:val="auto"/>
                <w:kern w:val="0"/>
                <w:sz w:val="24"/>
                <w:highlight w:val="none"/>
              </w:rPr>
              <w:t>有变更的，需提供变更前后相应证件）</w:t>
            </w:r>
            <w:r>
              <w:rPr>
                <w:rFonts w:hAnsi="仿宋_GB2312" w:eastAsia="仿宋_GB2312"/>
                <w:color w:val="auto"/>
                <w:kern w:val="0"/>
                <w:sz w:val="24"/>
                <w:highlight w:val="none"/>
              </w:rPr>
              <w:t>达到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2</w:t>
            </w:r>
            <w:r>
              <w:rPr>
                <w:rFonts w:hAnsi="仿宋_GB2312" w:eastAsia="仿宋_GB2312"/>
                <w:color w:val="auto"/>
                <w:kern w:val="0"/>
                <w:sz w:val="24"/>
                <w:highlight w:val="none"/>
              </w:rPr>
              <w:t>名及以上，加</w:t>
            </w:r>
            <w:r>
              <w:rPr>
                <w:rFonts w:ascii="Times New Roman" w:hAnsi="Times New Roman" w:eastAsia="仿宋_GB2312"/>
                <w:color w:val="auto"/>
                <w:kern w:val="0"/>
                <w:sz w:val="24"/>
                <w:highlight w:val="none"/>
              </w:rPr>
              <w:t>5</w:t>
            </w:r>
            <w:r>
              <w:rPr>
                <w:rFonts w:hAnsi="仿宋_GB2312" w:eastAsia="仿宋_GB2312"/>
                <w:color w:val="auto"/>
                <w:kern w:val="0"/>
                <w:sz w:val="24"/>
                <w:highlight w:val="none"/>
              </w:rPr>
              <w:t>分。</w:t>
            </w:r>
          </w:p>
        </w:tc>
        <w:tc>
          <w:tcPr>
            <w:tcW w:w="67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67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  <w:t>评估指标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color w:val="auto"/>
                <w:sz w:val="24"/>
                <w:highlight w:val="none"/>
              </w:rPr>
              <w:t>医保药品备药率（</w:t>
            </w:r>
            <w:r>
              <w:rPr>
                <w:rFonts w:ascii="Times New Roman" w:hAnsi="Times New Roman" w:eastAsia="仿宋_GB2312"/>
                <w:color w:val="auto"/>
                <w:sz w:val="24"/>
                <w:highlight w:val="none"/>
              </w:rPr>
              <w:t>15</w:t>
            </w:r>
            <w:r>
              <w:rPr>
                <w:rFonts w:eastAsia="仿宋_GB2312"/>
                <w:color w:val="auto"/>
                <w:sz w:val="24"/>
                <w:highlight w:val="none"/>
              </w:rPr>
              <w:t>分）</w:t>
            </w:r>
          </w:p>
        </w:tc>
        <w:tc>
          <w:tcPr>
            <w:tcW w:w="9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4"/>
              <w:rPr>
                <w:rFonts w:ascii="Times New Roman" w:hAnsi="Times New Roman" w:eastAsia="仿宋_GB2312"/>
                <w:color w:val="auto"/>
                <w:kern w:val="2"/>
                <w:highlight w:val="none"/>
              </w:rPr>
            </w:pP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医保药品占比≥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90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%</w:t>
            </w:r>
            <w:r>
              <w:rPr>
                <w:rFonts w:hint="eastAsia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分，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90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%＞占比≥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75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%</w:t>
            </w:r>
            <w:r>
              <w:rPr>
                <w:rFonts w:hint="eastAsia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8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分，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75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%＞占比≥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60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%</w:t>
            </w:r>
            <w:r>
              <w:rPr>
                <w:rFonts w:hint="eastAsia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6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分。配备医保目录内药品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100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种以上</w:t>
            </w:r>
            <w:r>
              <w:rPr>
                <w:rFonts w:hint="eastAsia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分；配备国谈药品，每增加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种加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0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分，最高加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2</w:t>
            </w:r>
            <w:r>
              <w:rPr>
                <w:rFonts w:hint="eastAsia" w:ascii="Calibri" w:hAnsi="仿宋_GB2312" w:eastAsia="仿宋_GB2312" w:cs="Times New Roman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分。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415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  <w:t>评估指标合计分值：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sz w:val="24"/>
                <w:highlight w:val="none"/>
              </w:rPr>
              <w:t>150</w:t>
            </w:r>
            <w:r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  <w:t>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45" w:hRule="atLeast"/>
          <w:jc w:val="center"/>
        </w:trPr>
        <w:tc>
          <w:tcPr>
            <w:tcW w:w="12806" w:type="dxa"/>
            <w:gridSpan w:val="4"/>
            <w:tcBorders>
              <w:top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highlight w:val="none"/>
              </w:rPr>
              <w:t>评估指标合计得分：</w:t>
            </w:r>
          </w:p>
        </w:tc>
        <w:tc>
          <w:tcPr>
            <w:tcW w:w="67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4"/>
                <w:highlight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</w:tcBorders>
            <w:noWrap w:val="0"/>
            <w:vAlign w:val="center"/>
          </w:tcPr>
          <w:p>
            <w:pPr>
              <w:overflowPunct w:val="0"/>
              <w:spacing w:line="320" w:lineRule="exact"/>
              <w:jc w:val="center"/>
              <w:rPr>
                <w:rFonts w:eastAsia="仿宋_GB2312"/>
                <w:color w:val="auto"/>
                <w:sz w:val="21"/>
                <w:szCs w:val="21"/>
                <w:highlight w:val="none"/>
              </w:rPr>
            </w:pPr>
          </w:p>
        </w:tc>
      </w:tr>
    </w:tbl>
    <w:p>
      <w:pPr>
        <w:spacing w:beforeLines="20" w:line="320" w:lineRule="exact"/>
        <w:rPr>
          <w:rFonts w:eastAsia="楷体_GB2312"/>
          <w:color w:val="auto"/>
          <w:sz w:val="24"/>
          <w:highlight w:val="none"/>
        </w:rPr>
      </w:pPr>
      <w:r>
        <w:rPr>
          <w:rFonts w:hint="eastAsia" w:eastAsia="楷体_GB2312"/>
          <w:color w:val="auto"/>
          <w:sz w:val="24"/>
          <w:highlight w:val="none"/>
        </w:rPr>
        <w:t>备注：基础指标有一项不合格，评估结果即为不合格；评估指标合计得分</w:t>
      </w:r>
      <w:r>
        <w:rPr>
          <w:rFonts w:hint="eastAsia" w:ascii="Times New Roman" w:hAnsi="Times New Roman" w:eastAsia="楷体_GB2312"/>
          <w:color w:val="auto"/>
          <w:sz w:val="24"/>
          <w:highlight w:val="none"/>
        </w:rPr>
        <w:t>120</w:t>
      </w:r>
      <w:r>
        <w:rPr>
          <w:rFonts w:hint="eastAsia" w:eastAsia="楷体_GB2312"/>
          <w:color w:val="auto"/>
          <w:sz w:val="24"/>
          <w:highlight w:val="none"/>
        </w:rPr>
        <w:t>分以下，评估结果即为不合格。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240" w:lineRule="exact"/>
        <w:ind w:leftChars="0"/>
        <w:jc w:val="both"/>
        <w:textAlignment w:val="auto"/>
        <w:rPr>
          <w:color w:val="auto"/>
          <w:highlight w:val="none"/>
        </w:rPr>
      </w:pPr>
    </w:p>
    <w:p>
      <w:pPr>
        <w:spacing w:beforeLines="20" w:line="320" w:lineRule="exact"/>
        <w:rPr>
          <w:rFonts w:eastAsia="楷体_GB2312"/>
          <w:color w:val="auto"/>
          <w:sz w:val="24"/>
          <w:highlight w:val="none"/>
        </w:rPr>
      </w:pPr>
      <w:r>
        <w:rPr>
          <w:rFonts w:hint="eastAsia" w:eastAsia="楷体_GB2312"/>
          <w:color w:val="auto"/>
          <w:sz w:val="24"/>
          <w:highlight w:val="none"/>
          <w:lang w:eastAsia="zh-CN"/>
        </w:rPr>
        <w:t>申请单位法人（签章）：</w:t>
      </w:r>
      <w:r>
        <w:rPr>
          <w:rFonts w:hint="eastAsia" w:eastAsia="楷体_GB2312"/>
          <w:color w:val="auto"/>
          <w:sz w:val="24"/>
          <w:highlight w:val="none"/>
          <w:lang w:val="en-US" w:eastAsia="zh-CN"/>
        </w:rPr>
        <w:t xml:space="preserve">                                    </w:t>
      </w:r>
      <w:r>
        <w:rPr>
          <w:rFonts w:eastAsia="楷体_GB2312"/>
          <w:color w:val="auto"/>
          <w:sz w:val="24"/>
          <w:highlight w:val="none"/>
        </w:rPr>
        <w:t>现场</w:t>
      </w:r>
      <w:r>
        <w:rPr>
          <w:rFonts w:hint="eastAsia" w:eastAsia="楷体_GB2312"/>
          <w:color w:val="auto"/>
          <w:sz w:val="24"/>
          <w:highlight w:val="none"/>
          <w:lang w:eastAsia="zh-CN"/>
        </w:rPr>
        <w:t>核查人员</w:t>
      </w:r>
      <w:r>
        <w:rPr>
          <w:rFonts w:eastAsia="楷体_GB2312"/>
          <w:color w:val="auto"/>
          <w:sz w:val="24"/>
          <w:highlight w:val="none"/>
        </w:rPr>
        <w:t>签名：</w:t>
      </w:r>
    </w:p>
    <w:p>
      <w:pPr>
        <w:pStyle w:val="2"/>
        <w:keepNext w:val="0"/>
        <w:keepLines w:val="0"/>
        <w:pageBreakBefore w:val="0"/>
        <w:kinsoku/>
        <w:wordWrap/>
        <w:topLinePunct w:val="0"/>
        <w:bidi w:val="0"/>
        <w:spacing w:line="240" w:lineRule="auto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/>
    <w:sectPr>
      <w:pgSz w:w="16838" w:h="11906" w:orient="landscape"/>
      <w:pgMar w:top="1803" w:right="1440" w:bottom="1395" w:left="1440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蒂剪纸体">
    <w:altName w:val="宋体"/>
    <w:panose1 w:val="00000000000000000000"/>
    <w:charset w:val="00"/>
    <w:family w:val="script"/>
    <w:pitch w:val="default"/>
    <w:sig w:usb0="00000000" w:usb1="00000000" w:usb2="00000000" w:usb3="00000000" w:csb0="00040001" w:csb1="00000000"/>
  </w:font>
  <w:font w:name="Arial Unicode MS">
    <w:altName w:val="Times New Roman"/>
    <w:panose1 w:val="020B0604020202020204"/>
    <w:charset w:val="00"/>
    <w:family w:val="swiss"/>
    <w:pitch w:val="default"/>
    <w:sig w:usb0="00000000" w:usb1="00000000" w:usb2="0000003F" w:usb3="00000000" w:csb0="603F01FF" w:csb1="FFFF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9A62C2"/>
    <w:rsid w:val="494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00" w:lineRule="exact"/>
      <w:ind w:firstLine="420"/>
    </w:pPr>
    <w:rPr>
      <w:rFonts w:eastAsia="宋体"/>
      <w:sz w:val="28"/>
    </w:rPr>
  </w:style>
  <w:style w:type="paragraph" w:styleId="3">
    <w:name w:val="Body Text"/>
    <w:basedOn w:val="1"/>
    <w:next w:val="2"/>
    <w:unhideWhenUsed/>
    <w:qFormat/>
    <w:uiPriority w:val="1"/>
    <w:pPr>
      <w:autoSpaceDE w:val="0"/>
      <w:autoSpaceDN w:val="0"/>
      <w:adjustRightInd w:val="0"/>
      <w:ind w:left="108"/>
      <w:jc w:val="left"/>
    </w:pPr>
    <w:rPr>
      <w:rFonts w:hint="eastAsia" w:ascii="新蒂剪纸体" w:hAnsi="新蒂剪纸体" w:eastAsia="新蒂剪纸体" w:cs="Times New Roman"/>
      <w:kern w:val="0"/>
      <w:sz w:val="90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customStyle="1" w:styleId="7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ascii="Arial Unicode MS" w:hAnsi="Calibri" w:eastAsia="Arial Unicode MS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2022-03-02T02:30:00Z</dcterms:created>
  <dc:creator>66wz-lj</dc:creator>
  <cp:lastModifiedBy>66wz-lj</cp:lastModifiedBy>
  <dcterms:modified xsi:type="dcterms:W3CDTF">2022-05-30T08:46:34Z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