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90" w:lineRule="exact"/>
        <w:jc w:val="left"/>
        <w:rPr>
          <w:rFonts w:hint="default" w:ascii="Times New Roman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after="200" w:line="24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after="200" w:line="24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after="200" w:line="24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after="200"/>
        <w:jc w:val="center"/>
        <w:rPr>
          <w:rFonts w:hint="eastAsia" w:ascii="方正书宋简体" w:hAnsi="Tahoma" w:eastAsia="方正书宋简体"/>
          <w:b/>
          <w:kern w:val="0"/>
          <w:sz w:val="52"/>
          <w:szCs w:val="52"/>
        </w:rPr>
      </w:pPr>
      <w:r>
        <w:rPr>
          <w:rFonts w:hint="eastAsia" w:ascii="方正书宋简体" w:hAnsi="Tahoma" w:eastAsia="方正书宋简体"/>
          <w:b/>
          <w:kern w:val="0"/>
          <w:sz w:val="52"/>
          <w:szCs w:val="52"/>
          <w:lang w:eastAsia="zh-CN"/>
        </w:rPr>
        <w:t>温州</w:t>
      </w:r>
      <w:r>
        <w:rPr>
          <w:rFonts w:hint="eastAsia" w:ascii="方正书宋简体" w:hAnsi="Tahoma" w:eastAsia="方正书宋简体"/>
          <w:b/>
          <w:kern w:val="0"/>
          <w:sz w:val="52"/>
          <w:szCs w:val="52"/>
        </w:rPr>
        <w:t>市医疗保障</w:t>
      </w:r>
    </w:p>
    <w:p>
      <w:pPr>
        <w:widowControl/>
        <w:adjustRightInd w:val="0"/>
        <w:snapToGrid w:val="0"/>
        <w:spacing w:after="200"/>
        <w:jc w:val="center"/>
        <w:rPr>
          <w:rFonts w:hint="eastAsia" w:ascii="方正书宋简体" w:hAnsi="Tahoma" w:eastAsia="方正书宋简体"/>
          <w:b/>
          <w:kern w:val="0"/>
          <w:sz w:val="52"/>
          <w:szCs w:val="52"/>
        </w:rPr>
      </w:pPr>
      <w:r>
        <w:rPr>
          <w:rFonts w:hint="eastAsia" w:ascii="方正书宋简体" w:hAnsi="Tahoma" w:eastAsia="方正书宋简体"/>
          <w:b/>
          <w:kern w:val="0"/>
          <w:sz w:val="52"/>
          <w:szCs w:val="52"/>
        </w:rPr>
        <w:t>定点零售药店申请表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after="200" w:line="24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after="200" w:line="24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after="200" w:line="24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after="200" w:line="24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after="200" w:line="24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after="200" w:line="24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after="200" w:line="24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thick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申请单位___________________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after="200" w:line="240" w:lineRule="auto"/>
        <w:ind w:left="0" w:leftChars="0" w:firstLine="480" w:firstLineChars="15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after="200" w:line="24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thick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申请时间___________________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after="200" w:line="24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after="200" w:line="24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after="200" w:line="24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after="200" w:line="24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line="24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br w:type="column"/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line="24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</w:pPr>
    </w:p>
    <w:p>
      <w:pPr>
        <w:widowControl/>
        <w:adjustRightInd w:val="0"/>
        <w:snapToGrid w:val="0"/>
        <w:spacing w:line="590" w:lineRule="exact"/>
        <w:jc w:val="center"/>
        <w:rPr>
          <w:rFonts w:hint="eastAsia"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填  写  说  明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line="48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该表填写内容可打印也可用蓝色或黑色水笔填写，要求字迹工整清楚，内容真实。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符合医保定点条件并愿意承担医保服务的零售药店，可在规定时间内向所在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eastAsia="zh-CN"/>
        </w:rPr>
        <w:t>辖区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医保经办机构提出申请，填写《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eastAsia="zh-CN"/>
        </w:rPr>
        <w:t>温州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市医疗保障定点零售药店申请表》，并提供以下材料：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《温州市医疗保障定点零售药店申请书》及《评估表》;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药品经营许可证、营业执照、法定代表人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eastAsia="zh-CN"/>
        </w:rPr>
        <w:t>或实际控制人的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身份证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eastAsia="zh-CN"/>
        </w:rPr>
        <w:t>复印件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及零售药店工作人员花名册;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与医保政策对应的内部管理制度和财务管理制度,医保专(兼)职管理人员劳动合同;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药品经营品种及价格清单(连锁门店可由总部统一提供);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零售药店营业场所产权证明或经房产主管部门备案的租赁合同;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执业药师资格证书或药学技术人员相关证书及其劳动合同;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纳入定点后使用医疗保障基金的预测性分析报告;</w:t>
      </w:r>
    </w:p>
    <w:p>
      <w:pPr>
        <w:pStyle w:val="2"/>
        <w:ind w:left="0" w:leftChars="0" w:firstLine="600" w:firstLineChars="200"/>
        <w:rPr>
          <w:rFonts w:hint="eastAsia" w:eastAsia="仿宋_GB231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0"/>
          <w:szCs w:val="30"/>
          <w:highlight w:val="none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 xml:space="preserve">. </w:t>
      </w:r>
      <w:r>
        <w:rPr>
          <w:rFonts w:hAnsi="仿宋_GB2312" w:eastAsia="仿宋_GB2312"/>
          <w:kern w:val="0"/>
          <w:sz w:val="32"/>
          <w:szCs w:val="32"/>
        </w:rPr>
        <w:t>与医保有关的医疗机构信息系统相关材料</w:t>
      </w:r>
      <w:r>
        <w:rPr>
          <w:rFonts w:hint="eastAsia" w:hAnsi="仿宋_GB2312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按相关规定要求提供的其他材料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line="240" w:lineRule="auto"/>
        <w:ind w:left="0" w:leftChars="0" w:firstLine="663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 xml:space="preserve">    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tbl>
      <w:tblPr>
        <w:tblStyle w:val="5"/>
        <w:tblpPr w:leftFromText="180" w:rightFromText="180" w:vertAnchor="text" w:horzAnchor="page" w:tblpX="1770" w:tblpY="120"/>
        <w:tblOverlap w:val="never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855"/>
        <w:gridCol w:w="719"/>
        <w:gridCol w:w="256"/>
        <w:gridCol w:w="1160"/>
        <w:gridCol w:w="780"/>
        <w:gridCol w:w="915"/>
        <w:gridCol w:w="892"/>
        <w:gridCol w:w="821"/>
        <w:gridCol w:w="9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jc w:val="center"/>
        </w:trPr>
        <w:tc>
          <w:tcPr>
            <w:tcW w:w="2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零售药店名称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法定代表人姓名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法定代表人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法定代表人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2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经营方式</w:t>
            </w:r>
          </w:p>
        </w:tc>
        <w:tc>
          <w:tcPr>
            <w:tcW w:w="651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 连锁企业直营门店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 加盟店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 单体店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2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总店名称</w:t>
            </w:r>
          </w:p>
        </w:tc>
        <w:tc>
          <w:tcPr>
            <w:tcW w:w="651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2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开业时间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4" w:hRule="atLeast"/>
          <w:jc w:val="center"/>
        </w:trPr>
        <w:tc>
          <w:tcPr>
            <w:tcW w:w="2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651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2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药店用房性质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（自有/租赁）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药店用房租赁合同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剩余有效期限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233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营业场所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建筑面积</w:t>
            </w:r>
          </w:p>
        </w:tc>
        <w:tc>
          <w:tcPr>
            <w:tcW w:w="213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highlight w:val="none"/>
              </w:rPr>
              <w:t>500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米内有无其他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定点零售药店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233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3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highlight w:val="none"/>
              </w:rPr>
              <w:t>1000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米内有无其他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定点零售药店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2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单位经办人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233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药品经营许可证号</w:t>
            </w:r>
          </w:p>
        </w:tc>
        <w:tc>
          <w:tcPr>
            <w:tcW w:w="213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许可证取得时间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6" w:hRule="atLeast"/>
          <w:jc w:val="center"/>
        </w:trPr>
        <w:tc>
          <w:tcPr>
            <w:tcW w:w="233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3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变更记录（近三年）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9" w:hRule="atLeast"/>
          <w:jc w:val="center"/>
        </w:trPr>
        <w:tc>
          <w:tcPr>
            <w:tcW w:w="2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统一社会信用代码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营业执照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取得时间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2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是否已安装医药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结算监控设备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是否承诺提供医药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结算监控信息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2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经营药品是否有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进、销、存台账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经营药品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种数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总数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西药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中成药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中药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饮片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其中医保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药品种数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总数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西药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中成药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中药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饮片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736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工作人员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总数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注册执业药师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（中药师）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药师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（中药师）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从业药师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（中药师）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营业员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其他工作人员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3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年以上稳定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工作关系人数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参加社会保险人数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4" w:hRule="atLeast"/>
          <w:jc w:val="center"/>
        </w:trPr>
        <w:tc>
          <w:tcPr>
            <w:tcW w:w="3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近一年内有无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行政处罚记录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近一年内有无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重大药品质量事故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8" w:hRule="atLeast"/>
          <w:jc w:val="center"/>
        </w:trPr>
        <w:tc>
          <w:tcPr>
            <w:tcW w:w="70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同一法人主体（投资主体）的相关定点医药机构，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年内有无因违规被暂停、解除或终止医保协议和正在接受经办机构调查处理等情况的记录。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7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申请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36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beforeLines="100" w:line="240" w:lineRule="auto"/>
              <w:ind w:left="0"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自愿承担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县（市、区）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u w:val="none"/>
              </w:rPr>
              <w:t>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疗保障服务，申请成为医疗保障定点零售药店，并承诺所填写的信息、证明材料真实有效。如与事实不符，将承担提供虚假材料所造成的一切后果。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自愿按医保部门和医保经办机构要求安装实名制购药验证、实时监控等智能监管系统。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91" w:line="240" w:lineRule="auto"/>
              <w:ind w:left="0" w:leftChars="0" w:firstLine="4320" w:firstLineChars="18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91" w:line="240" w:lineRule="auto"/>
              <w:ind w:left="0" w:leftChars="0" w:firstLine="4320" w:firstLineChars="18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91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法定代表人签字：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ind w:left="0" w:leftChars="0" w:firstLine="4680" w:firstLineChars="195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蒂剪纸体">
    <w:altName w:val="宋体"/>
    <w:panose1 w:val="00000000000000000000"/>
    <w:charset w:val="00"/>
    <w:family w:val="script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FB70E3"/>
    <w:multiLevelType w:val="singleLevel"/>
    <w:tmpl w:val="F5FB70E3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0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unhideWhenUsed/>
    <w:qFormat/>
    <w:uiPriority w:val="1"/>
    <w:pPr>
      <w:autoSpaceDE w:val="0"/>
      <w:autoSpaceDN w:val="0"/>
      <w:adjustRightInd w:val="0"/>
      <w:ind w:left="108"/>
      <w:jc w:val="left"/>
    </w:pPr>
    <w:rPr>
      <w:rFonts w:hint="eastAsia" w:ascii="新蒂剪纸体" w:hAnsi="新蒂剪纸体" w:eastAsia="新蒂剪纸体" w:cs="Times New Roman"/>
      <w:kern w:val="0"/>
      <w:sz w:val="9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2022-03-02T02:29:00Z</dcterms:created>
  <dc:creator>66wz-lj</dc:creator>
  <cp:lastModifiedBy>66wz-lj</cp:lastModifiedBy>
  <dcterms:modified xsi:type="dcterms:W3CDTF">2022-03-02T02:29:10Z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