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温州市长期护理保险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失能等级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评估团队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管理办法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right="0" w:firstLine="1760" w:firstLineChars="400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第一条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规范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本市长期护理保险（以下简称长护险）失能等级评定管理，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建立长护险失能评估员库和评定专家库，加强失能评定队伍建设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制订本办法。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mr-I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第二条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本办法所称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评估员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是指为失能人员提供现场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失能等级评估的专业人员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评估员原则上由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mr-IN"/>
        </w:rPr>
        <w:t>医疗机构相关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mr-IN"/>
        </w:rPr>
        <w:t>临床科室执业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mr-IN"/>
        </w:rPr>
        <w:t>的医护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mr-IN"/>
        </w:rPr>
        <w:t>人员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mr-IN"/>
        </w:rPr>
        <w:t>组成。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第三条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本办法所称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评定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专家是指对有异议的评定结论进行复评的专业人员，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mr-IN"/>
        </w:rPr>
        <w:t>评定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mr-IN"/>
        </w:rPr>
        <w:t>专家库原则上由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mr-IN"/>
        </w:rPr>
        <w:t>县级或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mr-IN"/>
        </w:rPr>
        <w:t>三级综合性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医疗机构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副高及以上专业医护人员组成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第四条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评估员主要承担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长护险失能等级现场评估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</w:rPr>
        <w:t>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评定专家主要承担复评工作。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第五条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评估员及专家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长护险评定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工作中享有以下权利：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（一）查阅被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评定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人的病历资料，询问其等相关信息，进行必要的体格检查、辅助检查；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（二）根据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长护险评定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标准，独立提出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评定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意见；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（三）履行职责不受干扰、威胁、利诱；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（四）对不配合或提供虚假医疗资料、隐瞒病伤史的被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评定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人停止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失能等级评定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工作；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（五）获得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长护险失能等级评定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劳务报酬；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（六）个人信息以及鉴定意见被保护；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（七）对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长护险失能等级评定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工作提出意见和建议；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（八）法律法规规定的其他权利。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第六条 评估员和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评定专家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长护险评定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工作中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履行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以下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义务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遵守工作规则，恪守职业道德，依法依规、公正廉洁地开展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长护险评定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工作；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（二）客观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评定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被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评定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人的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失能状况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，作出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评定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意见并签名；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（三）保护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参保人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隐私，妥善保管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评定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材料，不丢失、损坏，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不私自拍照、复制，不另作他用；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）对存在利害关系的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长护险评定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工作，主动申请回避；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）不以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长护险失能等级评定专家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身份参加未经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评定委员会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允许的任何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商业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活动。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第七条 评估员和评定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专家有下列行为之一的，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评定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委视情节暂停其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评定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资格或者解除聘任；情节严重的，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依照相关法律法规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</w:rPr>
        <w:t>处理：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在履行职责过程中有严重失误的；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（二）提供虚假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评定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意见的；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（三）利用职务之便非法收受财物的；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（四）无正当理由不履行职责的；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（五）存在违反法律法规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其他行为的。</w:t>
      </w:r>
    </w:p>
    <w:p/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B0CAB8"/>
    <w:multiLevelType w:val="singleLevel"/>
    <w:tmpl w:val="A4B0CAB8"/>
    <w:lvl w:ilvl="0" w:tentative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kMWUyNjJhNTVmNjQzNGM1YTE0ZWQzNWNkOTBkM2EifQ=="/>
  </w:docVars>
  <w:rsids>
    <w:rsidRoot w:val="4425594A"/>
    <w:rsid w:val="4425594A"/>
    <w:rsid w:val="72F2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1"/>
    <w:qFormat/>
    <w:uiPriority w:val="0"/>
    <w:pPr>
      <w:numPr>
        <w:ilvl w:val="0"/>
        <w:numId w:val="1"/>
      </w:numPr>
    </w:pPr>
  </w:style>
  <w:style w:type="paragraph" w:styleId="3">
    <w:name w:val="Body Text Indent 2"/>
    <w:basedOn w:val="1"/>
    <w:qFormat/>
    <w:uiPriority w:val="0"/>
    <w:pPr>
      <w:keepNext w:val="0"/>
      <w:keepLines w:val="0"/>
      <w:widowControl w:val="0"/>
      <w:suppressLineNumbers w:val="0"/>
      <w:spacing w:afterLines="0" w:afterAutospacing="0" w:line="560" w:lineRule="exact"/>
      <w:ind w:left="0" w:leftChars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Normal (Web)"/>
    <w:basedOn w:val="1"/>
    <w:unhideWhenUsed/>
    <w:qFormat/>
    <w:uiPriority w:val="99"/>
    <w:pPr>
      <w:jc w:val="left"/>
    </w:pPr>
    <w:rPr>
      <w:rFonts w:ascii="Calibri" w:hAnsi="Calibri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807</Words>
  <Characters>807</Characters>
  <Lines>0</Lines>
  <Paragraphs>0</Paragraphs>
  <TotalTime>0</TotalTime>
  <ScaleCrop>false</ScaleCrop>
  <LinksUpToDate>false</LinksUpToDate>
  <CharactersWithSpaces>815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2023-05-24T02:22:00Z</dcterms:created>
  <dc:creator>王炎耳东</dc:creator>
  <cp:lastModifiedBy>王炎耳东</cp:lastModifiedBy>
  <dcterms:modified xsi:type="dcterms:W3CDTF">2023-05-24T02:31:35Z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BAD9875E087F44DE969B5F2CEA0B49FD_11</vt:lpwstr>
  </property>
</Properties>
</file>