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50" w:afterLines="100" w:line="240" w:lineRule="auto"/>
        <w:jc w:val="center"/>
        <w:textAlignment w:val="auto"/>
        <w:rPr>
          <w:rFonts w:hint="eastAsia" w:ascii="方正书宋简体" w:eastAsia="方正书宋简体"/>
          <w:b/>
          <w:bCs/>
          <w:color w:val="auto"/>
          <w:spacing w:val="-8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书宋简体" w:hAnsi="宋体" w:eastAsia="方正书宋简体"/>
          <w:b/>
          <w:color w:val="auto"/>
          <w:spacing w:val="-14"/>
          <w:kern w:val="0"/>
          <w:sz w:val="44"/>
          <w:szCs w:val="44"/>
          <w:highlight w:val="none"/>
          <w:lang w:eastAsia="zh-CN"/>
        </w:rPr>
        <w:t>温州市</w:t>
      </w:r>
      <w:r>
        <w:rPr>
          <w:rFonts w:hint="eastAsia" w:ascii="方正书宋简体" w:hAnsi="宋体" w:eastAsia="方正书宋简体"/>
          <w:b/>
          <w:color w:val="auto"/>
          <w:spacing w:val="-14"/>
          <w:kern w:val="0"/>
          <w:sz w:val="44"/>
          <w:szCs w:val="44"/>
          <w:highlight w:val="none"/>
        </w:rPr>
        <w:t>医疗保障定点医疗机构评估表</w:t>
      </w:r>
    </w:p>
    <w:p>
      <w:pPr>
        <w:overflowPunct w:val="0"/>
        <w:spacing w:line="240" w:lineRule="auto"/>
        <w:rPr>
          <w:rFonts w:eastAsia="仿宋_GB2312"/>
          <w:bCs/>
          <w:color w:val="auto"/>
          <w:sz w:val="24"/>
          <w:highlight w:val="none"/>
        </w:rPr>
      </w:pPr>
      <w:r>
        <w:rPr>
          <w:rFonts w:eastAsia="仿宋_GB2312"/>
          <w:color w:val="auto"/>
          <w:sz w:val="24"/>
          <w:highlight w:val="none"/>
        </w:rPr>
        <w:t>医疗机构名称：                                    地址：                            评估时间：</w:t>
      </w:r>
    </w:p>
    <w:tbl>
      <w:tblPr>
        <w:tblStyle w:val="5"/>
        <w:tblW w:w="141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631"/>
        <w:gridCol w:w="2336"/>
        <w:gridCol w:w="8460"/>
        <w:gridCol w:w="645"/>
        <w:gridCol w:w="735"/>
        <w:gridCol w:w="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tblHeader/>
          <w:jc w:val="center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指标类型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评估项目及分值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标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自评情况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评估情况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基础指标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经营时间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正式运营是否已达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个月，“否”即为不合格。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执业医师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机构是否至少有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名取得医师执业证书、乡村医生执业证书或中医（专长）医师资格证书且第一注册地在该医疗机构的医师，“否”即为不合格。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医保管理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pacing w:val="-2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2"/>
                <w:sz w:val="24"/>
                <w:highlight w:val="none"/>
              </w:rPr>
              <w:t>是否由主要负责人负责医保工作，且配备专（兼）职医保管理人员；</w:t>
            </w:r>
            <w:r>
              <w:rPr>
                <w:rFonts w:ascii="Times New Roman" w:hAnsi="Times New Roman" w:eastAsia="仿宋_GB2312"/>
                <w:color w:val="auto"/>
                <w:spacing w:val="-2"/>
                <w:sz w:val="24"/>
                <w:highlight w:val="none"/>
              </w:rPr>
              <w:t>100</w:t>
            </w:r>
            <w:r>
              <w:rPr>
                <w:rFonts w:eastAsia="仿宋_GB2312"/>
                <w:color w:val="auto"/>
                <w:spacing w:val="-2"/>
                <w:sz w:val="24"/>
                <w:highlight w:val="none"/>
              </w:rPr>
              <w:t>张床位以上的医疗机构是否设内部医保管理部门，并安排专职工作人员，“否”即为不合格。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制度建设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是否具有符合医保协议管理要求的医保管理制度、财务制度、统计信息管理制度、医疗质量安全核心制度等，“否”即为不合格。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信息系统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是否已确定系统开发商，并已签订合作协议，“否”即为不合格。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基础数据库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是否已设立医保药品、诊疗项目、医疗服务设施、医用耗材、疾病病种等基础数据库，并按规定使用国家统一的医保编码，“否”即为不合格。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执业范围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是否以医疗美容、辅助生殖、生活照护、种植牙等非基本医疗服务为主要执业范围，“是”即为不合格。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医药价格政策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pacing w:val="-2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2"/>
                <w:sz w:val="24"/>
                <w:highlight w:val="none"/>
              </w:rPr>
              <w:t>基本医疗服务是否执行医疗保障行政部门制定的医药价格政策，“否”即为不合格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信用制度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机构的法定代表人、主要负责人或实际控制人是否有被列入失信人名单的，“是”即为不合格。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其他不予受理的情形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机构是否有国家、省医保部门规定的其他不予受理情形，“是”即为不合格。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16" w:tblpY="28"/>
        <w:tblOverlap w:val="never"/>
        <w:tblW w:w="141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631"/>
        <w:gridCol w:w="2336"/>
        <w:gridCol w:w="8460"/>
        <w:gridCol w:w="645"/>
        <w:gridCol w:w="735"/>
        <w:gridCol w:w="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指标类型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评估项目及分值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标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自评情况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评估情况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2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  <w:highlight w:val="none"/>
              </w:rPr>
              <w:t>评估指标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建立完善的医保管理制度（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建立包括医保办（医保人员）工作制度、医保病历处方审核制度、医保相关审批管理制度、医保政策宣传培训制度等的医院医保管理制度。未建立制度扣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分；制度不健全，每少一个制度，扣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both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建立完善的财务制度（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color w:val="auto"/>
                <w:spacing w:val="-4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未提供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近一年（不足一年的自开办之日算起）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审计报告此项不得分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未以单位名称开设基本账户扣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分，所有资金收支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未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通过本单位的基本账户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</w:rPr>
              <w:t>根据会计制度的规定建立相应的会计账目和“进、销、存”电算化管理的明细账目，未建立扣</w:t>
            </w:r>
            <w:r>
              <w:rPr>
                <w:rFonts w:hint="eastAsia" w:ascii="Times New Roman" w:hAnsi="Times New Roman" w:eastAsia="仿宋_GB2312"/>
                <w:color w:val="auto"/>
                <w:spacing w:val="-4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</w:rPr>
              <w:t>分。制度执行不到位，未做到账账相符、账实相符，发现一例扣</w:t>
            </w:r>
            <w:r>
              <w:rPr>
                <w:rFonts w:hint="eastAsia"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</w:rPr>
              <w:t>分。未配备财务人员扣</w:t>
            </w:r>
            <w:r>
              <w:rPr>
                <w:rFonts w:hint="eastAsia"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</w:rPr>
              <w:t>分，配备兼职财务人员扣</w:t>
            </w:r>
            <w:r>
              <w:rPr>
                <w:rFonts w:hint="eastAsia"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</w:rPr>
              <w:t>分。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  <w:lang w:val="en-US" w:eastAsia="zh-CN"/>
              </w:rPr>
              <w:t>扣完为止。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6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建立完善的统计信息管理制度（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按要求做好医疗机构信息库、药品目录库（包括西药、中成药、中药饮片）、诊疗项目目录库、诊疗耗材目录库、疾病编码目录库、手术编码目录库信息库等标准数据库基础信息的维护工作。发现未及时按要求维护的情况，</w:t>
            </w:r>
            <w:r>
              <w:rPr>
                <w:rFonts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例扣</w:t>
            </w:r>
            <w:r>
              <w:rPr>
                <w:rFonts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分。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  <w:lang w:val="en-US" w:eastAsia="zh-CN"/>
              </w:rPr>
              <w:t>扣完为止。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人员参保情况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按规定为所有从业人员在本单位按时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（自合同之日起）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、足额缴纳社会保险。发现一例未依法参保的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5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信息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系统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管理（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28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配备相关医保电子凭证设备、医保联网设施设备，并与其它网络间有安全隔离措施，与互联网物理隔离。未按要求配备，扣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严格按照医保局最新政策业务需求和技术规范完成配套改造工作，未按要求改造的，扣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分；未配备专业维护人员扣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建立规范的药品、医用材料进货管理制度</w:t>
            </w:r>
          </w:p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28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药品购进记录必须注明药品的通用名称、生产厂商（中药材标明产地）、剂型、规格、批号、生产日期、有效期、批准文号、供货单位、数量、价格、购进日期。药品、器械、耗材等所有经营品种购进、销售均应纳入“进、销、存”电算化管理（包括厂家赠品），并将购、销明细如实录入“进、销、存”电算化管理信息系统。可查数据少于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个月的扣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药品、器械、耗材等所有经营品种“进、销、存”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登记不规范的，发现一例扣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分，扣完为止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指标类型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评估项目及分值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标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自评情况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评估情况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Calibri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  <w:highlight w:val="none"/>
              </w:rPr>
              <w:t>评估指标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开展医保政策宣传（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设立宣传栏、电子屏等向就医的参保人员宣传医保政策、就医流程等。未设立或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设立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未宣传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分，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宣传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内容不规范的，扣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保证参保人员知情同意权（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公开药品、服务项目和材料的价格，能向参保人员提供门诊、住院费用结算清单和住院日费用清单，未公开扣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分，公开但提供不到位酌情扣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  <w:p>
            <w:pPr>
              <w:overflowPunct w:val="0"/>
              <w:spacing w:line="320" w:lineRule="exact"/>
              <w:rPr>
                <w:rFonts w:eastAsia="仿宋_GB2312"/>
                <w:color w:val="auto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6"/>
                <w:sz w:val="24"/>
                <w:highlight w:val="none"/>
              </w:rPr>
              <w:t>建立自费项目参保人员知情确认制度，未建立扣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  <w:highlight w:val="none"/>
              </w:rPr>
              <w:t>3</w:t>
            </w:r>
            <w:r>
              <w:rPr>
                <w:rFonts w:eastAsia="仿宋_GB2312"/>
                <w:color w:val="auto"/>
                <w:spacing w:val="-6"/>
                <w:sz w:val="24"/>
                <w:highlight w:val="none"/>
              </w:rPr>
              <w:t>分，制度执行不到位，酌情扣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pacing w:val="-6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5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设置监控设备（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在收费结算处等公共场所安装监控设备，确保正常使用，角度正确，能清晰辨认出参保人员面部特征，并能提供营业期间不少于三个月不间断的监控影像资料。未安装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监控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安装后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使用不正常或不能提供相关影像资料，扣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对医保基金影响的预测性分析（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纳入定点后对医保基金影响的预测性分析报告应客观、正确，符合医疗机构规模、经营收入和医保基金利用等实际情况。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未提供预测性分析报告、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预测性分析报告不符合实际情况的扣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异地结算（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按要求提供省内异地、跨省异地联网结算服务的，加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场所布局（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pStyle w:val="7"/>
              <w:widowControl/>
              <w:overflowPunct w:val="0"/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pacing w:val="-4"/>
                <w:kern w:val="2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pacing w:val="-4"/>
                <w:kern w:val="2"/>
                <w:highlight w:val="none"/>
              </w:rPr>
              <w:t>与相近定点医疗机构的最小行径间距大于500米的加2分；大于1000米的加5分。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场所面积（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建筑面积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500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平方米及以上加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分；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1000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平方米及以上加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第一执业点医师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情况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第一执业点注册于该医疗机构的医师（连续在本单位参保及注册满三个月及以上，退休返聘除外）达到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人的加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分；每增加一名加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分，最高不超过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6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分。第一执业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点医师具备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中级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职称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的，每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个人加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分；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具备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副高及以上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职称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的，每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人加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最高不超过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4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执业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护士情况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kern w:val="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highlight w:val="none"/>
              </w:rPr>
              <w:t>配备注册于该医疗机构的高级职称护师（连续在本单位参保及注册满三个月及以上，退休返聘除外，下同）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highlight w:val="none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highlight w:val="none"/>
              </w:rPr>
              <w:t>分，中级职称护师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highlight w:val="none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highlight w:val="none"/>
              </w:rPr>
              <w:t>2分。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指标类型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评估项目及分值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标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自评情况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评估情况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ascii="Calibri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5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评估指标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医保药品备药率（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60" w:lineRule="exact"/>
              <w:jc w:val="both"/>
              <w:rPr>
                <w:rFonts w:hint="default" w:ascii="Times New Roman" w:hAnsi="Times New Roman" w:eastAsia="仿宋_GB2312"/>
                <w:color w:val="auto"/>
                <w:kern w:val="2"/>
                <w:highlight w:val="none"/>
                <w:lang w:val="en-US"/>
              </w:rPr>
            </w:pP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医保药品占比：三级医院医保占比≥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75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分；专科医院医保占比≥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分；其他医院医保占比≥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95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95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85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85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分。配备医保目录内药品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种以上加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分；配备国谈药品，每增加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种加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  <w:r>
              <w:rPr>
                <w:rFonts w:hint="eastAsia" w:asci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最高不超过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  <w:r>
              <w:rPr>
                <w:rFonts w:hint="eastAsia" w:asci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tabs>
                <w:tab w:val="left" w:pos="758"/>
              </w:tabs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医保目录诊疗服务占比（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已开展的医疗服务项目中，医保目录内服务项目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占比≥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95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%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95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%＞占比≥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85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%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8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85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%＞占比≥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75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%</w:t>
            </w:r>
            <w:r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6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456" w:type="dxa"/>
            <w:gridSpan w:val="6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评估指标合计分值：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highlight w:val="none"/>
              </w:rPr>
              <w:t>150</w:t>
            </w: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12128" w:type="dxa"/>
            <w:gridSpan w:val="4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评估指标合计得分：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320" w:lineRule="exact"/>
        <w:ind w:firstLine="480" w:firstLineChars="200"/>
        <w:textAlignment w:val="auto"/>
        <w:rPr>
          <w:rFonts w:hint="eastAsia" w:eastAsia="楷体_GB2312"/>
          <w:color w:val="auto"/>
          <w:sz w:val="24"/>
          <w:highlight w:val="none"/>
          <w:lang w:eastAsia="zh-CN"/>
        </w:rPr>
      </w:pPr>
      <w:r>
        <w:rPr>
          <w:rFonts w:eastAsia="楷体_GB2312"/>
          <w:color w:val="auto"/>
          <w:sz w:val="24"/>
          <w:highlight w:val="none"/>
        </w:rPr>
        <w:t>备注：基础指标有一项不合格，评估结果即为不合格；评估指标合计得分</w:t>
      </w:r>
      <w:r>
        <w:rPr>
          <w:rFonts w:ascii="Times New Roman" w:hAnsi="Times New Roman" w:eastAsia="楷体_GB2312"/>
          <w:color w:val="auto"/>
          <w:sz w:val="24"/>
          <w:highlight w:val="none"/>
        </w:rPr>
        <w:t>120</w:t>
      </w:r>
      <w:r>
        <w:rPr>
          <w:rFonts w:eastAsia="楷体_GB2312"/>
          <w:color w:val="auto"/>
          <w:sz w:val="24"/>
          <w:highlight w:val="none"/>
        </w:rPr>
        <w:t>分以下，评估结果即为不合格。</w:t>
      </w:r>
    </w:p>
    <w:p>
      <w:pPr>
        <w:spacing w:beforeLines="20" w:line="320" w:lineRule="exact"/>
        <w:ind w:firstLine="8160" w:firstLineChars="3400"/>
        <w:rPr>
          <w:rFonts w:eastAsia="楷体_GB2312"/>
          <w:color w:val="auto"/>
          <w:sz w:val="24"/>
          <w:highlight w:val="none"/>
        </w:rPr>
      </w:pPr>
    </w:p>
    <w:p>
      <w:pPr>
        <w:spacing w:beforeLines="20" w:line="320" w:lineRule="exact"/>
        <w:rPr>
          <w:rFonts w:eastAsia="楷体_GB2312"/>
          <w:color w:val="auto"/>
          <w:sz w:val="24"/>
          <w:highlight w:val="none"/>
        </w:rPr>
      </w:pPr>
      <w:r>
        <w:rPr>
          <w:rFonts w:hint="eastAsia" w:eastAsia="楷体_GB2312"/>
          <w:color w:val="auto"/>
          <w:sz w:val="24"/>
          <w:highlight w:val="none"/>
          <w:lang w:eastAsia="zh-CN"/>
        </w:rPr>
        <w:t>申请单位法人（签章）：</w:t>
      </w:r>
      <w:r>
        <w:rPr>
          <w:rFonts w:hint="eastAsia" w:eastAsia="楷体_GB2312"/>
          <w:color w:val="auto"/>
          <w:sz w:val="24"/>
          <w:highlight w:val="none"/>
          <w:lang w:val="en-US" w:eastAsia="zh-CN"/>
        </w:rPr>
        <w:t xml:space="preserve">                                    </w:t>
      </w:r>
      <w:r>
        <w:rPr>
          <w:rFonts w:eastAsia="楷体_GB2312"/>
          <w:color w:val="auto"/>
          <w:sz w:val="24"/>
          <w:highlight w:val="none"/>
        </w:rPr>
        <w:t>现场</w:t>
      </w:r>
      <w:r>
        <w:rPr>
          <w:rFonts w:hint="eastAsia" w:eastAsia="楷体_GB2312"/>
          <w:color w:val="auto"/>
          <w:sz w:val="24"/>
          <w:highlight w:val="none"/>
          <w:lang w:eastAsia="zh-CN"/>
        </w:rPr>
        <w:t>核查人员</w:t>
      </w:r>
      <w:r>
        <w:rPr>
          <w:rFonts w:eastAsia="楷体_GB2312"/>
          <w:color w:val="auto"/>
          <w:sz w:val="24"/>
          <w:highlight w:val="none"/>
        </w:rPr>
        <w:t>签名：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蒂剪纸体">
    <w:altName w:val="宋体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 w:cs="Times New Roman"/>
      <w:kern w:val="0"/>
      <w:sz w:val="9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Arial Unicode MS" w:hAnsi="Calibri" w:eastAsia="Arial Unicode MS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2022-03-02T02:29:45Z</dcterms:created>
  <dc:creator>66wz-lj</dc:creator>
  <cp:lastModifiedBy>66wz-lj</cp:lastModifiedBy>
  <dcterms:modified xsi:type="dcterms:W3CDTF">2022-03-02T02:30:09Z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