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rPr>
          <w:rFonts w:hint="eastAsia" w:ascii="方正小标宋简体" w:eastAsia="方正小标宋简体"/>
          <w:color w:val="FF0000"/>
          <w:w w:val="80"/>
          <w:sz w:val="68"/>
          <w:szCs w:val="68"/>
        </w:rPr>
      </w:pPr>
    </w:p>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rPr>
          <w:rFonts w:hint="eastAsia" w:ascii="方正小标宋简体" w:eastAsia="方正小标宋简体"/>
          <w:color w:val="FF0000"/>
          <w:w w:val="80"/>
          <w:sz w:val="68"/>
          <w:szCs w:val="68"/>
        </w:rPr>
      </w:pPr>
    </w:p>
    <w:tbl>
      <w:tblPr>
        <w:tblStyle w:val="7"/>
        <w:tblW w:w="90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5"/>
        <w:gridCol w:w="1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335" w:type="dxa"/>
            <w:noWrap w:val="0"/>
            <w:vAlign w:val="center"/>
          </w:tcPr>
          <w:p>
            <w:pPr>
              <w:spacing w:line="900" w:lineRule="exact"/>
              <w:jc w:val="distribute"/>
              <w:rPr>
                <w:rFonts w:hint="eastAsia" w:ascii="方正小标宋简体" w:eastAsia="方正小标宋简体"/>
                <w:color w:val="FF0000"/>
                <w:w w:val="80"/>
                <w:sz w:val="86"/>
                <w:szCs w:val="86"/>
              </w:rPr>
            </w:pPr>
            <w:r>
              <w:rPr>
                <w:rFonts w:hint="eastAsia" w:ascii="方正小标宋简体" w:eastAsia="方正小标宋简体"/>
                <w:color w:val="FF0000"/>
                <w:w w:val="80"/>
                <w:sz w:val="86"/>
                <w:szCs w:val="86"/>
              </w:rPr>
              <w:t>温州市医疗保障局</w:t>
            </w:r>
          </w:p>
          <w:p>
            <w:pPr>
              <w:spacing w:line="1000" w:lineRule="exact"/>
              <w:jc w:val="distribute"/>
              <w:rPr>
                <w:rFonts w:hint="eastAsia" w:ascii="方正小标宋简体" w:eastAsia="方正小标宋简体"/>
                <w:color w:val="FF0000"/>
                <w:w w:val="80"/>
                <w:sz w:val="68"/>
                <w:szCs w:val="68"/>
              </w:rPr>
            </w:pPr>
            <w:r>
              <w:rPr>
                <w:rFonts w:hint="eastAsia" w:ascii="方正小标宋简体" w:eastAsia="方正小标宋简体"/>
                <w:color w:val="FF0000"/>
                <w:w w:val="80"/>
                <w:sz w:val="86"/>
                <w:szCs w:val="86"/>
              </w:rPr>
              <w:t>温州市财政局</w:t>
            </w:r>
          </w:p>
        </w:tc>
        <w:tc>
          <w:tcPr>
            <w:tcW w:w="1684" w:type="dxa"/>
            <w:noWrap w:val="0"/>
            <w:vAlign w:val="center"/>
          </w:tcPr>
          <w:p>
            <w:pPr>
              <w:spacing w:line="900" w:lineRule="exact"/>
              <w:jc w:val="center"/>
              <w:rPr>
                <w:rFonts w:hint="eastAsia" w:ascii="方正小标宋简体" w:eastAsia="方正小标宋简体"/>
                <w:color w:val="FF0000"/>
                <w:w w:val="85"/>
                <w:sz w:val="74"/>
                <w:szCs w:val="74"/>
              </w:rPr>
            </w:pPr>
            <w:r>
              <w:rPr>
                <w:rFonts w:hint="eastAsia" w:ascii="方正小标宋简体" w:eastAsia="方正小标宋简体"/>
                <w:color w:val="FF0000"/>
                <w:w w:val="85"/>
                <w:sz w:val="86"/>
                <w:szCs w:val="86"/>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701" w:hRule="exact"/>
          <w:jc w:val="center"/>
        </w:trPr>
        <w:tc>
          <w:tcPr>
            <w:tcW w:w="9019" w:type="dxa"/>
            <w:gridSpan w:val="2"/>
            <w:tcBorders>
              <w:bottom w:val="single" w:color="FF0000" w:sz="24" w:space="0"/>
            </w:tcBorders>
            <w:noWrap w:val="0"/>
            <w:vAlign w:val="top"/>
          </w:tcPr>
          <w:p>
            <w:pPr>
              <w:spacing w:line="440" w:lineRule="exact"/>
              <w:rPr>
                <w:rFonts w:hint="eastAsia"/>
                <w:sz w:val="32"/>
                <w:szCs w:val="32"/>
              </w:rPr>
            </w:pPr>
          </w:p>
          <w:p>
            <w:pPr>
              <w:spacing w:line="440" w:lineRule="exact"/>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sz w:val="32"/>
                <w:szCs w:val="32"/>
              </w:rPr>
            </w:pPr>
            <w:r>
              <w:rPr>
                <w:rFonts w:hint="eastAsia" w:ascii="仿宋_GB2312" w:hAnsi="仿宋_GB2312" w:eastAsia="仿宋_GB2312" w:cs="仿宋_GB2312"/>
                <w:sz w:val="32"/>
                <w:szCs w:val="32"/>
                <w:lang w:eastAsia="zh-CN"/>
              </w:rPr>
              <w:t>温医保发</w:t>
            </w:r>
            <w:r>
              <w:rPr>
                <w:rFonts w:hint="eastAsia" w:ascii="仿宋_GB2312" w:hAnsi="仿宋_GB2312" w:eastAsia="仿宋_GB2312" w:cs="仿宋_GB2312"/>
                <w:sz w:val="32"/>
                <w:szCs w:val="32"/>
              </w:rPr>
              <w:t>〔2019〕</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号</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温州市医疗保障局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温州市财政局关于调整温州市区困难群众精神障碍患者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医中医疗救助标准的通知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温州市（区）各医疗保障局分局、财政局，浙南产业集聚区民政、财政部门：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为进一步改善群众精神障碍患者医疗救助水平，经研究，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决定将温州市区困难群众精神障碍患者医中医疗定额救助标准调整如下：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符合温州市区医中医疗救助的困难精神障碍患者的救助标准由每人每天35元调整为46元。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上述救助标准从2019年7月1日起执行，所需经费均按原经费开支渠道列支。此次标准调整后，原则上三年内不再调整。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温州市医疗保障局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温</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州</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财</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局</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2019年6月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_GB2312" w:eastAsia="仿宋_GB2312" w:cs="仿宋_GB2312"/>
          <w:b w:val="0"/>
          <w:bCs w:val="0"/>
          <w:sz w:val="32"/>
          <w:szCs w:val="32"/>
          <w:lang w:val="en-US" w:eastAsia="zh-CN"/>
        </w:rPr>
      </w:pPr>
    </w:p>
    <w:tbl>
      <w:tblPr>
        <w:tblStyle w:val="7"/>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509"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温州市医疗保障局办公室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2019年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 xml:space="preserve">日印发 </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1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ind w:left="210" w:leftChars="100" w:right="210" w:rightChars="100"/>
                  <w:jc w:val="right"/>
                  <w:rPr>
                    <w:rFonts w:hint="eastAsia" w:ascii="宋体" w:hAnsi="宋体" w:eastAsia="宋体" w:cs="宋体"/>
                    <w:sz w:val="28"/>
                    <w:szCs w:val="28"/>
                  </w:rPr>
                </w:pPr>
                <w:r>
                  <w:rPr>
                    <w:rStyle w:val="9"/>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3</w:t>
                </w:r>
                <w:r>
                  <w:rPr>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p>
                <w:pPr>
                  <w:pStyle w:val="3"/>
                  <w:rPr>
                    <w:rFonts w:hint="eastAsia" w:eastAsiaTheme="minorEastAsia"/>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42961"/>
    <w:rsid w:val="00583C8D"/>
    <w:rsid w:val="00631437"/>
    <w:rsid w:val="009D090E"/>
    <w:rsid w:val="00B165FD"/>
    <w:rsid w:val="00BE7715"/>
    <w:rsid w:val="00C42961"/>
    <w:rsid w:val="03B7314A"/>
    <w:rsid w:val="04692726"/>
    <w:rsid w:val="0C231D53"/>
    <w:rsid w:val="0DD95680"/>
    <w:rsid w:val="10EE60BF"/>
    <w:rsid w:val="1DC12DCE"/>
    <w:rsid w:val="2B05322D"/>
    <w:rsid w:val="40A100C1"/>
    <w:rsid w:val="4301598E"/>
    <w:rsid w:val="4651715B"/>
    <w:rsid w:val="4E173F17"/>
    <w:rsid w:val="566145BE"/>
    <w:rsid w:val="5C9F0F65"/>
    <w:rsid w:val="5ED04872"/>
    <w:rsid w:val="687913CD"/>
    <w:rsid w:val="754E58C0"/>
    <w:rsid w:val="78ED22FF"/>
    <w:rsid w:val="7BB774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批注框文本 Char"/>
    <w:basedOn w:val="8"/>
    <w:link w:val="2"/>
    <w:qFormat/>
    <w:uiPriority w:val="0"/>
    <w:rPr>
      <w:kern w:val="2"/>
      <w:sz w:val="18"/>
      <w:szCs w:val="18"/>
    </w:rPr>
  </w:style>
  <w:style w:type="character" w:customStyle="1" w:styleId="13">
    <w:name w:val="Subtle Emphasis"/>
    <w:basedOn w:val="8"/>
    <w:qFormat/>
    <w:uiPriority w:val="19"/>
    <w:rPr>
      <w:i/>
      <w:iCs/>
      <w:color w:val="7F7F7F" w:themeColor="text1" w:themeTint="7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Words>
  <Characters>288</Characters>
  <Lines>2</Lines>
  <Paragraphs>1</Paragraphs>
  <TotalTime>0</TotalTime>
  <ScaleCrop>false</ScaleCrop>
  <LinksUpToDate>false</LinksUpToDate>
  <CharactersWithSpaces>337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太阳</dc:creator>
  <cp:lastModifiedBy>innnnnnnn</cp:lastModifiedBy>
  <cp:lastPrinted>2019-06-28T07:12:00Z</cp:lastPrinted>
  <dcterms:modified xsi:type="dcterms:W3CDTF">2019-06-28T08:07:32Z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