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jc w:val="right"/>
        <w:textAlignment w:val="auto"/>
        <w:rPr>
          <w:rFonts w:hint="default" w:ascii="Times New Roman" w:hAnsi="Times New Roman" w:eastAsia="黑体" w:cs="Times New Roman"/>
          <w:color w:val="auto"/>
          <w:w w:val="90"/>
          <w:kern w:val="0"/>
          <w:sz w:val="32"/>
          <w:szCs w:val="32"/>
          <w:lang w:val="en-US" w:bidi="ar-SA"/>
        </w:rPr>
      </w:pPr>
      <w:r>
        <w:rPr>
          <w:rFonts w:hint="default" w:ascii="Times New Roman" w:hAnsi="Times New Roman" w:eastAsia="黑体" w:cs="Times New Roman"/>
          <w:color w:val="auto"/>
          <w:w w:val="90"/>
          <w:kern w:val="0"/>
          <w:sz w:val="32"/>
          <w:szCs w:val="32"/>
          <w:lang w:val="en-US" w:bidi="ar-SA"/>
        </w:rPr>
        <w:t>ZJCC73-2023-0002</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jc w:val="both"/>
        <w:textAlignment w:val="auto"/>
        <w:rPr>
          <w:rFonts w:hint="eastAsia" w:ascii="方正小标宋简体" w:hAnsi="方正小标宋简体" w:eastAsia="方正小标宋简体" w:cs="Times New Roman"/>
          <w:color w:val="FF0000"/>
          <w:w w:val="90"/>
          <w:kern w:val="0"/>
          <w:sz w:val="90"/>
          <w:szCs w:val="90"/>
          <w:lang w:val="en-US" w:bidi="ar-SA"/>
        </w:rPr>
      </w:pPr>
    </w:p>
    <w:p>
      <w:pPr>
        <w:pStyle w:val="3"/>
        <w:rPr>
          <w:rFonts w:hint="eastAsia" w:ascii="方正小标宋简体" w:hAnsi="方正小标宋简体" w:eastAsia="方正小标宋简体" w:cs="Times New Roman"/>
          <w:color w:val="FF0000"/>
          <w:w w:val="90"/>
          <w:kern w:val="0"/>
          <w:sz w:val="90"/>
          <w:szCs w:val="90"/>
          <w:lang w:val="en-US" w:bidi="ar-SA"/>
        </w:rPr>
      </w:pPr>
    </w:p>
    <w:p>
      <w:pPr>
        <w:rPr>
          <w:rFonts w:hint="eastAsia"/>
          <w:lang w:val="en-US"/>
        </w:rPr>
      </w:pPr>
    </w:p>
    <w:p>
      <w:pPr>
        <w:pStyle w:val="3"/>
        <w:keepNext w:val="0"/>
        <w:keepLines w:val="0"/>
        <w:pageBreakBefore w:val="0"/>
        <w:widowControl w:val="0"/>
        <w:wordWrap/>
        <w:topLinePunct w:val="0"/>
        <w:bidi w:val="0"/>
        <w:snapToGrid/>
        <w:spacing w:line="560" w:lineRule="exact"/>
        <w:textAlignment w:val="auto"/>
        <w:rPr>
          <w:rFonts w:hint="eastAsia"/>
          <w:lang w:val="en-US"/>
        </w:rPr>
      </w:pPr>
    </w:p>
    <w:p>
      <w:pPr>
        <w:rPr>
          <w:rFonts w:hint="eastAsia"/>
          <w:lang w:val="en-US"/>
        </w:rPr>
      </w:pPr>
    </w:p>
    <w:p>
      <w:pPr>
        <w:pStyle w:val="2"/>
        <w:widowControl w:val="0"/>
        <w:kinsoku w:val="0"/>
        <w:overflowPunct w:val="0"/>
        <w:autoSpaceDE w:val="0"/>
        <w:autoSpaceDN w:val="0"/>
        <w:adjustRightInd w:val="0"/>
        <w:spacing w:line="1274" w:lineRule="exact"/>
        <w:ind w:left="0"/>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Times New Roman"/>
          <w:color w:val="FF0000"/>
          <w:w w:val="90"/>
          <w:kern w:val="0"/>
          <w:sz w:val="90"/>
          <w:szCs w:val="90"/>
          <w:lang w:val="en-US" w:bidi="ar-SA"/>
        </w:rPr>
        <w:t>温州市医疗保障局文件</w:t>
      </w:r>
    </w:p>
    <w:p>
      <w:pPr>
        <w:pStyle w:val="2"/>
        <w:keepNext w:val="0"/>
        <w:keepLines w:val="0"/>
        <w:pageBreakBefore w:val="0"/>
        <w:widowControl w:val="0"/>
        <w:kinsoku/>
        <w:wordWrap/>
        <w:overflowPunct w:val="0"/>
        <w:topLinePunct w:val="0"/>
        <w:autoSpaceDE/>
        <w:autoSpaceDN/>
        <w:bidi w:val="0"/>
        <w:adjustRightInd/>
        <w:snapToGrid/>
        <w:spacing w:line="560" w:lineRule="exact"/>
        <w:ind w:left="0" w:firstLine="0"/>
        <w:jc w:val="both"/>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jc w:val="center"/>
        <w:textAlignment w:val="auto"/>
        <w:rPr>
          <w:rFonts w:ascii="仿宋_GB2312" w:hAnsi="仿宋" w:eastAsia="仿宋_GB2312" w:cs="仿宋"/>
          <w:kern w:val="2"/>
          <w:sz w:val="32"/>
          <w:szCs w:val="32"/>
        </w:rPr>
      </w:pPr>
      <w:r>
        <w:rPr>
          <w:rFonts w:hint="eastAsia" w:ascii="仿宋_GB2312" w:eastAsia="仿宋_GB2312"/>
          <w:sz w:val="32"/>
          <w:szCs w:val="32"/>
        </w:rPr>
        <w:t>温医保</w:t>
      </w:r>
      <w:r>
        <w:rPr>
          <w:rFonts w:hint="eastAsia" w:ascii="仿宋_GB2312" w:eastAsia="仿宋_GB2312"/>
          <w:sz w:val="32"/>
          <w:szCs w:val="32"/>
          <w:lang w:eastAsia="zh-CN"/>
        </w:rPr>
        <w:t>发</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rPr>
        <w:t>号</w:t>
      </w:r>
      <w:r>
        <w:rPr>
          <w:rFonts w:hint="default"/>
          <w:sz w:val="20"/>
        </w:rPr>
        <mc:AlternateContent>
          <mc:Choice Requires="wpg">
            <w:drawing>
              <wp:anchor distT="0" distB="0" distL="114300" distR="114300" simplePos="0" relativeHeight="251659264" behindDoc="1" locked="0" layoutInCell="1" allowOverlap="1">
                <wp:simplePos x="0" y="0"/>
                <wp:positionH relativeFrom="column">
                  <wp:posOffset>-34925</wp:posOffset>
                </wp:positionH>
                <wp:positionV relativeFrom="paragraph">
                  <wp:posOffset>372110</wp:posOffset>
                </wp:positionV>
                <wp:extent cx="5615940" cy="230505"/>
                <wp:effectExtent l="0" t="4445" r="3810" b="12700"/>
                <wp:wrapNone/>
                <wp:docPr id="13" name="组合 13"/>
                <wp:cNvGraphicFramePr/>
                <a:graphic xmlns:a="http://schemas.openxmlformats.org/drawingml/2006/main">
                  <a:graphicData uri="http://schemas.microsoft.com/office/word/2010/wordprocessingGroup">
                    <wpg:wgp>
                      <wpg:cNvGrpSpPr/>
                      <wpg:grpSpPr>
                        <a:xfrm>
                          <a:off x="0" y="0"/>
                          <a:ext cx="5615940" cy="230505"/>
                          <a:chOff x="1533" y="6516"/>
                          <a:chExt cx="8844" cy="363"/>
                        </a:xfrm>
                        <a:effectLst/>
                      </wpg:grpSpPr>
                      <wpg:grpSp>
                        <wpg:cNvPr id="2" name="组合 6"/>
                        <wpg:cNvGrpSpPr/>
                        <wpg:grpSpPr>
                          <a:xfrm>
                            <a:off x="1533" y="6712"/>
                            <a:ext cx="8844" cy="59"/>
                            <a:chOff x="1513" y="6682"/>
                            <a:chExt cx="8655" cy="59"/>
                          </a:xfrm>
                          <a:effectLst/>
                        </wpg:grpSpPr>
                        <wpg:grpSp>
                          <wpg:cNvPr id="4" name="组合 3"/>
                          <wpg:cNvGrpSpPr/>
                          <wpg:grpSpPr>
                            <a:xfrm>
                              <a:off x="6208" y="6682"/>
                              <a:ext cx="3960" cy="59"/>
                              <a:chOff x="29" y="29"/>
                              <a:chExt cx="3901" cy="20"/>
                            </a:xfrm>
                            <a:effectLst/>
                          </wpg:grpSpPr>
                          <wps:wsp>
                            <wps:cNvPr id="5" name="任意多边形 2"/>
                            <wps:cNvSpPr/>
                            <wps:spPr>
                              <a:xfrm>
                                <a:off x="29" y="29"/>
                                <a:ext cx="3901" cy="20"/>
                              </a:xfrm>
                              <a:custGeom>
                                <a:avLst/>
                                <a:gdLst/>
                                <a:ahLst/>
                                <a:cxnLst/>
                                <a:pathLst>
                                  <a:path w="3901" h="20">
                                    <a:moveTo>
                                      <a:pt x="0" y="0"/>
                                    </a:moveTo>
                                    <a:lnTo>
                                      <a:pt x="3900" y="0"/>
                                    </a:lnTo>
                                  </a:path>
                                </a:pathLst>
                              </a:custGeom>
                              <a:solidFill>
                                <a:srgbClr val="FF0000"/>
                              </a:solidFill>
                              <a:ln w="37338" cap="flat" cmpd="sng">
                                <a:solidFill>
                                  <a:srgbClr val="FF0000"/>
                                </a:solidFill>
                                <a:prstDash val="solid"/>
                                <a:headEnd type="none" w="med" len="med"/>
                                <a:tailEnd type="none" w="med" len="med"/>
                              </a:ln>
                              <a:effectLst/>
                            </wps:spPr>
                            <wps:bodyPr upright="1"/>
                          </wps:wsp>
                        </wpg:grpSp>
                        <wpg:grpSp>
                          <wpg:cNvPr id="7" name="组合 5"/>
                          <wpg:cNvGrpSpPr/>
                          <wpg:grpSpPr>
                            <a:xfrm>
                              <a:off x="1513" y="6682"/>
                              <a:ext cx="3960" cy="59"/>
                              <a:chOff x="29" y="29"/>
                              <a:chExt cx="3901" cy="20"/>
                            </a:xfrm>
                            <a:effectLst/>
                          </wpg:grpSpPr>
                          <wps:wsp>
                            <wps:cNvPr id="8" name="任意多边形 4"/>
                            <wps:cNvSpPr/>
                            <wps:spPr>
                              <a:xfrm>
                                <a:off x="29" y="29"/>
                                <a:ext cx="3901" cy="20"/>
                              </a:xfrm>
                              <a:custGeom>
                                <a:avLst/>
                                <a:gdLst/>
                                <a:ahLst/>
                                <a:cxnLst/>
                                <a:pathLst>
                                  <a:path w="3901" h="20">
                                    <a:moveTo>
                                      <a:pt x="0" y="0"/>
                                    </a:moveTo>
                                    <a:lnTo>
                                      <a:pt x="3900" y="0"/>
                                    </a:lnTo>
                                  </a:path>
                                </a:pathLst>
                              </a:custGeom>
                              <a:solidFill>
                                <a:srgbClr val="FF0000"/>
                              </a:solidFill>
                              <a:ln w="37338" cap="flat" cmpd="sng">
                                <a:solidFill>
                                  <a:srgbClr val="FF0000"/>
                                </a:solidFill>
                                <a:prstDash val="solid"/>
                                <a:headEnd type="none" w="med" len="med"/>
                                <a:tailEnd type="none" w="med" len="med"/>
                              </a:ln>
                              <a:effectLst/>
                            </wps:spPr>
                            <wps:bodyPr upright="1"/>
                          </wps:wsp>
                        </wpg:grpSp>
                      </wpg:grpSp>
                      <wpg:grpSp>
                        <wpg:cNvPr id="12" name="组合 12"/>
                        <wpg:cNvGrpSpPr/>
                        <wpg:grpSpPr>
                          <a:xfrm>
                            <a:off x="5766" y="6516"/>
                            <a:ext cx="381" cy="363"/>
                            <a:chOff x="0" y="0"/>
                            <a:chExt cx="381" cy="363"/>
                          </a:xfrm>
                          <a:effectLst/>
                        </wpg:grpSpPr>
                        <wpg:grpSp>
                          <wpg:cNvPr id="11" name="组合 11"/>
                          <wpg:cNvGrpSpPr/>
                          <wpg:grpSpPr>
                            <a:xfrm>
                              <a:off x="0" y="0"/>
                              <a:ext cx="381" cy="363"/>
                              <a:chOff x="0" y="0"/>
                              <a:chExt cx="381" cy="363"/>
                            </a:xfrm>
                            <a:effectLst/>
                          </wpg:grpSpPr>
                          <wps:wsp>
                            <wps:cNvPr id="9" name="任意多边形 7"/>
                            <wps:cNvSpPr/>
                            <wps:spPr>
                              <a:xfrm>
                                <a:off x="0" y="0"/>
                                <a:ext cx="381" cy="363"/>
                              </a:xfrm>
                              <a:custGeom>
                                <a:avLst/>
                                <a:gdLst/>
                                <a:ahLst/>
                                <a:cxnLst/>
                                <a:pathLst>
                                  <a:path w="381" h="363">
                                    <a:moveTo>
                                      <a:pt x="0" y="138"/>
                                    </a:moveTo>
                                    <a:lnTo>
                                      <a:pt x="118" y="223"/>
                                    </a:lnTo>
                                    <a:lnTo>
                                      <a:pt x="72" y="362"/>
                                    </a:lnTo>
                                    <a:lnTo>
                                      <a:pt x="190" y="276"/>
                                    </a:lnTo>
                                    <a:lnTo>
                                      <a:pt x="280" y="276"/>
                                    </a:lnTo>
                                    <a:lnTo>
                                      <a:pt x="262" y="223"/>
                                    </a:lnTo>
                                    <a:lnTo>
                                      <a:pt x="380" y="138"/>
                                    </a:lnTo>
                                    <a:lnTo>
                                      <a:pt x="145" y="138"/>
                                    </a:lnTo>
                                    <a:lnTo>
                                      <a:pt x="0" y="138"/>
                                    </a:lnTo>
                                    <a:close/>
                                  </a:path>
                                </a:pathLst>
                              </a:custGeom>
                              <a:solidFill>
                                <a:srgbClr val="FF0000"/>
                              </a:solidFill>
                              <a:ln w="9525" cap="flat" cmpd="sng">
                                <a:solidFill>
                                  <a:srgbClr val="FF0000"/>
                                </a:solidFill>
                                <a:prstDash val="solid"/>
                                <a:headEnd type="none" w="med" len="med"/>
                                <a:tailEnd type="none" w="med" len="med"/>
                              </a:ln>
                              <a:effectLst/>
                            </wps:spPr>
                            <wps:bodyPr upright="1"/>
                          </wps:wsp>
                          <wps:wsp>
                            <wps:cNvPr id="10" name="任意多边形 8"/>
                            <wps:cNvSpPr/>
                            <wps:spPr>
                              <a:xfrm>
                                <a:off x="0" y="0"/>
                                <a:ext cx="381" cy="363"/>
                              </a:xfrm>
                              <a:custGeom>
                                <a:avLst/>
                                <a:gdLst/>
                                <a:ahLst/>
                                <a:cxnLst/>
                                <a:pathLst>
                                  <a:path w="381" h="363">
                                    <a:moveTo>
                                      <a:pt x="280" y="276"/>
                                    </a:moveTo>
                                    <a:lnTo>
                                      <a:pt x="190" y="276"/>
                                    </a:lnTo>
                                    <a:lnTo>
                                      <a:pt x="308" y="362"/>
                                    </a:lnTo>
                                    <a:lnTo>
                                      <a:pt x="280" y="276"/>
                                    </a:lnTo>
                                    <a:close/>
                                  </a:path>
                                </a:pathLst>
                              </a:custGeom>
                              <a:solidFill>
                                <a:srgbClr val="FF0000"/>
                              </a:solidFill>
                              <a:ln w="9525" cap="flat" cmpd="sng">
                                <a:solidFill>
                                  <a:srgbClr val="FF0000"/>
                                </a:solidFill>
                                <a:prstDash val="solid"/>
                                <a:headEnd type="none" w="med" len="med"/>
                                <a:tailEnd type="none" w="med" len="med"/>
                              </a:ln>
                              <a:effectLst/>
                            </wps:spPr>
                            <wps:bodyPr upright="1"/>
                          </wps:wsp>
                          <wps:wsp>
                            <wps:cNvPr id="14" name="任意多边形 9"/>
                            <wps:cNvSpPr/>
                            <wps:spPr>
                              <a:xfrm>
                                <a:off x="0" y="0"/>
                                <a:ext cx="381" cy="363"/>
                              </a:xfrm>
                              <a:custGeom>
                                <a:avLst/>
                                <a:gdLst/>
                                <a:ahLst/>
                                <a:cxnLst/>
                                <a:pathLst>
                                  <a:path w="381" h="363">
                                    <a:moveTo>
                                      <a:pt x="190" y="0"/>
                                    </a:moveTo>
                                    <a:lnTo>
                                      <a:pt x="145" y="138"/>
                                    </a:lnTo>
                                    <a:lnTo>
                                      <a:pt x="235" y="138"/>
                                    </a:lnTo>
                                    <a:lnTo>
                                      <a:pt x="190" y="0"/>
                                    </a:lnTo>
                                    <a:close/>
                                  </a:path>
                                </a:pathLst>
                              </a:custGeom>
                              <a:solidFill>
                                <a:srgbClr val="FF0000"/>
                              </a:solidFill>
                              <a:ln w="9525" cap="flat" cmpd="sng">
                                <a:solidFill>
                                  <a:srgbClr val="FF0000"/>
                                </a:solidFill>
                                <a:prstDash val="solid"/>
                                <a:headEnd type="none" w="med" len="med"/>
                                <a:tailEnd type="none" w="med" len="med"/>
                              </a:ln>
                              <a:effectLst/>
                            </wps:spPr>
                            <wps:bodyPr upright="1"/>
                          </wps:wsp>
                          <wps:wsp>
                            <wps:cNvPr id="15" name="任意多边形 10"/>
                            <wps:cNvSpPr/>
                            <wps:spPr>
                              <a:xfrm>
                                <a:off x="0" y="0"/>
                                <a:ext cx="381" cy="363"/>
                              </a:xfrm>
                              <a:custGeom>
                                <a:avLst/>
                                <a:gdLst/>
                                <a:ahLst/>
                                <a:cxnLst/>
                                <a:pathLst>
                                  <a:path w="381" h="363">
                                    <a:moveTo>
                                      <a:pt x="380" y="138"/>
                                    </a:moveTo>
                                    <a:lnTo>
                                      <a:pt x="235" y="138"/>
                                    </a:lnTo>
                                    <a:lnTo>
                                      <a:pt x="380" y="138"/>
                                    </a:lnTo>
                                    <a:lnTo>
                                      <a:pt x="380" y="138"/>
                                    </a:lnTo>
                                    <a:close/>
                                  </a:path>
                                </a:pathLst>
                              </a:custGeom>
                              <a:solidFill>
                                <a:srgbClr val="FF0000"/>
                              </a:solidFill>
                              <a:ln w="9525" cap="flat" cmpd="sng">
                                <a:solidFill>
                                  <a:srgbClr val="FF0000"/>
                                </a:solidFill>
                                <a:prstDash val="solid"/>
                                <a:headEnd type="none" w="med" len="med"/>
                                <a:tailEnd type="none" w="med" len="med"/>
                              </a:ln>
                              <a:effectLst/>
                            </wps:spPr>
                            <wps:bodyPr upright="1"/>
                          </wps:wsp>
                        </wpg:grpSp>
                      </wpg:grpSp>
                    </wpg:wgp>
                  </a:graphicData>
                </a:graphic>
              </wp:anchor>
            </w:drawing>
          </mc:Choice>
          <mc:Fallback>
            <w:pict>
              <v:group id="_x0000_s1026" o:spid="_x0000_s1026" o:spt="203" style="position:absolute;left:0pt;margin-left:-2.75pt;margin-top:29.3pt;height:18.15pt;width:442.2pt;z-index:-251657216;mso-width-relative:page;mso-height-relative:page;" coordorigin="1533,6516" coordsize="8844,363" o:gfxdata="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">
                <o:lock v:ext="edit" aspectratio="f"/>
                <v:group id="组合 6" o:spid="_x0000_s1026" o:spt="203" style="position:absolute;left:1533;top:6712;height:59;width:8844;" coordorigin="1513,6682" coordsize="8655,59"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group id="组合 3" o:spid="_x0000_s1026" o:spt="203" style="position:absolute;left:6208;top:6682;height:59;width:3960;" coordorigin="29,29" coordsize="3901,2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任意多边形 2" o:spid="_x0000_s1026" o:spt="100" style="position:absolute;left:29;top:29;height:20;width:3901;" fillcolor="#FF0000" filled="t" stroked="t" coordsize="3901,20" o:gfxdata="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3A2tvQAA&#10;ANoAAAAPAAAAAAAAAAEAIAAAACIAAABkcnMvZG93bnJldi54bWxQSwECFAAUAAAACACHTuJAMy8F&#10;njsAAAA5AAAAEAAAAAAAAAABACAAAAAMAQAAZHJzL3NoYXBleG1sLnhtbFBLBQYAAAAABgAGAFsB&#10;AAC2AwAAAAA=&#10;" path="m0,0l3900,0e">
                      <v:fill on="t" focussize="0,0"/>
                      <v:stroke weight="2.94pt" color="#FF0000" joinstyle="round"/>
                      <v:imagedata o:title=""/>
                      <o:lock v:ext="edit" aspectratio="f"/>
                    </v:shape>
                  </v:group>
                  <v:group id="组合 5" o:spid="_x0000_s1026" o:spt="203" style="position:absolute;left:1513;top:6682;height:59;width:3960;" coordorigin="29,29" coordsize="3901,20"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任意多边形 4" o:spid="_x0000_s1026" o:spt="100" style="position:absolute;left:29;top:29;height:20;width:3901;" fillcolor="#FF0000" filled="t" stroked="t" coordsize="3901,20" o:gfxdata="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t2iM7gAAADaAAAA&#10;DwAAAAAAAAABACAAAAAiAAAAZHJzL2Rvd25yZXYueG1sUEsBAhQAFAAAAAgAh07iQDMvBZ47AAAA&#10;OQAAABAAAAAAAAAAAQAgAAAABwEAAGRycy9zaGFwZXhtbC54bWxQSwUGAAAAAAYABgBbAQAAsQMA&#10;AAAA&#10;" path="m0,0l3900,0e">
                      <v:fill on="t" focussize="0,0"/>
                      <v:stroke weight="2.94pt" color="#FF0000" joinstyle="round"/>
                      <v:imagedata o:title=""/>
                      <o:lock v:ext="edit" aspectratio="f"/>
                    </v:shape>
                  </v:group>
                </v:group>
                <v:group id="_x0000_s1026" o:spid="_x0000_s1026" o:spt="203" style="position:absolute;left:5766;top:6516;height:363;width:381;" coordsize="381,363"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group id="_x0000_s1026" o:spid="_x0000_s1026" o:spt="203" style="position:absolute;left:0;top:0;height:363;width:381;" coordsize="381,363"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任意多边形 7" o:spid="_x0000_s1026" o:spt="100" style="position:absolute;left:0;top:0;height:363;width:381;" fillcolor="#FF0000" filled="t" stroked="t" coordsize="381,363" o:gfxdata="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64VuL4A&#10;AADaAAAADwAAAAAAAAABACAAAAAiAAAAZHJzL2Rvd25yZXYueG1sUEsBAhQAFAAAAAgAh07iQDMv&#10;BZ47AAAAOQAAABAAAAAAAAAAAQAgAAAADQEAAGRycy9zaGFwZXhtbC54bWxQSwUGAAAAAAYABgBb&#10;AQAAtwMAAAAA&#10;" path="m0,138l118,223,72,362,190,276,280,276,262,223,380,138,145,138,0,138xe">
                      <v:fill on="t" focussize="0,0"/>
                      <v:stroke color="#FF0000" joinstyle="round"/>
                      <v:imagedata o:title=""/>
                      <o:lock v:ext="edit" aspectratio="f"/>
                    </v:shape>
                    <v:shape id="任意多边形 8" o:spid="_x0000_s1026" o:spt="100" style="position:absolute;left:0;top:0;height:363;width:381;" fillcolor="#FF0000" filled="t" stroked="t" coordsize="381,363" o:gfxdata="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v00/L4A&#10;AADbAAAADwAAAAAAAAABACAAAAAiAAAAZHJzL2Rvd25yZXYueG1sUEsBAhQAFAAAAAgAh07iQDMv&#10;BZ47AAAAOQAAABAAAAAAAAAAAQAgAAAADQEAAGRycy9zaGFwZXhtbC54bWxQSwUGAAAAAAYABgBb&#10;AQAAtwMAAAAA&#10;" path="m280,276l190,276,308,362,280,276xe">
                      <v:fill on="t" focussize="0,0"/>
                      <v:stroke color="#FF0000" joinstyle="round"/>
                      <v:imagedata o:title=""/>
                      <o:lock v:ext="edit" aspectratio="f"/>
                    </v:shape>
                    <v:shape id="任意多边形 9" o:spid="_x0000_s1026" o:spt="100" style="position:absolute;left:0;top:0;height:363;width:381;" fillcolor="#FF0000" filled="t" stroked="t" coordsize="381,363" o:gfxdata="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nGMv+8AAAA&#10;2wAAAA8AAAAAAAAAAQAgAAAAIgAAAGRycy9kb3ducmV2LnhtbFBLAQIUABQAAAAIAIdO4kAzLwWe&#10;OwAAADkAAAAQAAAAAAAAAAEAIAAAAAsBAABkcnMvc2hhcGV4bWwueG1sUEsFBgAAAAAGAAYAWwEA&#10;ALUDAAAAAA==&#10;" path="m190,0l145,138,235,138,190,0xe">
                      <v:fill on="t" focussize="0,0"/>
                      <v:stroke color="#FF0000" joinstyle="round"/>
                      <v:imagedata o:title=""/>
                      <o:lock v:ext="edit" aspectratio="f"/>
                    </v:shape>
                    <v:shape id="任意多边形 10" o:spid="_x0000_s1026" o:spt="100" style="position:absolute;left:0;top:0;height:363;width:381;" fillcolor="#FF0000" filled="t" stroked="t" coordsize="381,363" o:gfxdata="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aKl2S8AAAA&#10;2wAAAA8AAAAAAAAAAQAgAAAAIgAAAGRycy9kb3ducmV2LnhtbFBLAQIUABQAAAAIAIdO4kAzLwWe&#10;OwAAADkAAAAQAAAAAAAAAAEAIAAAAAsBAABkcnMvc2hhcGV4bWwueG1sUEsFBgAAAAAGAAYAWwEA&#10;ALUDAAAAAA==&#10;" path="m380,138l235,138,380,138,380,138xe">
                      <v:fill on="t" focussize="0,0"/>
                      <v:stroke color="#FF0000" joinstyle="round"/>
                      <v:imagedata o:title=""/>
                      <o:lock v:ext="edit" aspectratio="f"/>
                    </v:shape>
                  </v:group>
                </v:group>
              </v:group>
            </w:pict>
          </mc:Fallback>
        </mc:AlternateContent>
      </w:r>
    </w:p>
    <w:p>
      <w:pPr>
        <w:pStyle w:val="3"/>
        <w:ind w:left="0" w:leftChars="0" w:firstLine="0" w:firstLineChars="0"/>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eastAsia="方正小标宋简体" w:cs="Times New Roman"/>
          <w:kern w:val="2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Times New Roman" w:eastAsia="方正小标宋简体" w:cs="Times New Roman"/>
          <w:kern w:val="21"/>
          <w:sz w:val="44"/>
          <w:szCs w:val="44"/>
          <w:lang w:val="en-US" w:eastAsia="zh-CN"/>
        </w:rPr>
      </w:pPr>
      <w:r>
        <w:rPr>
          <w:rFonts w:hint="eastAsia" w:ascii="方正小标宋简体" w:eastAsia="方正小标宋简体" w:cs="Times New Roman"/>
          <w:kern w:val="21"/>
          <w:sz w:val="44"/>
          <w:szCs w:val="44"/>
          <w:lang w:val="en-US" w:eastAsia="zh-CN"/>
        </w:rPr>
        <w:t>温州</w:t>
      </w:r>
      <w:r>
        <w:rPr>
          <w:rFonts w:hint="eastAsia" w:ascii="方正小标宋简体" w:hAnsi="Times New Roman" w:eastAsia="方正小标宋简体" w:cs="Times New Roman"/>
          <w:kern w:val="21"/>
          <w:sz w:val="44"/>
          <w:szCs w:val="44"/>
          <w:lang w:val="en-US" w:eastAsia="zh-CN"/>
        </w:rPr>
        <w:t>市医疗保障局关于规范口腔种植等</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Times New Roman" w:eastAsia="方正小标宋简体" w:cs="Times New Roman"/>
          <w:kern w:val="21"/>
          <w:sz w:val="44"/>
          <w:szCs w:val="44"/>
        </w:rPr>
      </w:pPr>
      <w:r>
        <w:rPr>
          <w:rFonts w:hint="eastAsia" w:ascii="方正小标宋简体" w:hAnsi="Times New Roman" w:eastAsia="方正小标宋简体" w:cs="Times New Roman"/>
          <w:kern w:val="21"/>
          <w:sz w:val="44"/>
          <w:szCs w:val="44"/>
          <w:lang w:val="en-US" w:eastAsia="zh-CN"/>
        </w:rPr>
        <w:t>医疗服务价格项目的通知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kern w:val="21"/>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20" w:lineRule="exact"/>
        <w:jc w:val="both"/>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rPr>
        <w:t>各县（市）医保局、</w:t>
      </w:r>
      <w:r>
        <w:rPr>
          <w:rFonts w:hint="eastAsia" w:ascii="Times New Roman" w:hAnsi="Times New Roman" w:eastAsia="仿宋_GB2312" w:cs="Times New Roman"/>
          <w:color w:val="auto"/>
          <w:sz w:val="32"/>
          <w:szCs w:val="32"/>
          <w:lang w:val="en-US" w:eastAsia="zh-CN"/>
        </w:rPr>
        <w:t>各</w:t>
      </w:r>
      <w:r>
        <w:rPr>
          <w:rFonts w:hint="default" w:ascii="Times New Roman" w:hAnsi="Times New Roman" w:eastAsia="仿宋_GB2312" w:cs="Times New Roman"/>
          <w:color w:val="auto"/>
          <w:sz w:val="32"/>
          <w:szCs w:val="32"/>
        </w:rPr>
        <w:t>区分局，龙港市社会事业局</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市医保中心</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省、市属公立医院</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部队医院</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为保障人民群众获得高质量、有效率、能负担的缺牙修复服务，促进口腔种植行业健康有序发展，根据国家医疗保障局《关于开展口腔种植医疗服务收费和耗材价格专项治理的通知》</w:t>
      </w:r>
      <w:r>
        <w:rPr>
          <w:rFonts w:hint="eastAsia" w:ascii="Times New Roman" w:hAnsi="Times New Roman" w:eastAsia="仿宋_GB2312" w:cs="Times New Roman"/>
          <w:sz w:val="32"/>
          <w:szCs w:val="32"/>
          <w:lang w:val="en" w:eastAsia="zh-CN"/>
        </w:rPr>
        <w:t>（医保发〔2022〕27号）</w:t>
      </w:r>
      <w:r>
        <w:rPr>
          <w:rFonts w:hint="eastAsia" w:eastAsia="仿宋_GB2312" w:cs="Times New Roman"/>
          <w:sz w:val="32"/>
          <w:szCs w:val="32"/>
          <w:lang w:val="en-US" w:eastAsia="zh-CN"/>
        </w:rPr>
        <w:t>精神</w:t>
      </w:r>
      <w:r>
        <w:rPr>
          <w:rFonts w:hint="eastAsia" w:ascii="Times New Roman" w:hAnsi="Times New Roman" w:eastAsia="仿宋_GB2312" w:cs="Times New Roman"/>
          <w:sz w:val="32"/>
          <w:szCs w:val="32"/>
          <w:lang w:val="en" w:eastAsia="zh-CN"/>
        </w:rPr>
        <w:t>和浙江省</w:t>
      </w:r>
      <w:r>
        <w:rPr>
          <w:rFonts w:hint="eastAsia" w:ascii="仿宋_GB2312" w:hAnsi="仿宋_GB2312" w:eastAsia="仿宋_GB2312" w:cs="仿宋_GB2312"/>
          <w:sz w:val="32"/>
          <w:szCs w:val="32"/>
          <w:lang w:val="en-US" w:eastAsia="zh-CN"/>
        </w:rPr>
        <w:t>医疗保障局</w:t>
      </w:r>
      <w:r>
        <w:rPr>
          <w:rFonts w:hint="eastAsia" w:ascii="Times New Roman" w:hAnsi="Times New Roman" w:eastAsia="仿宋_GB2312" w:cs="Times New Roman"/>
          <w:sz w:val="32"/>
          <w:szCs w:val="32"/>
          <w:lang w:val="en" w:eastAsia="zh-CN"/>
        </w:rPr>
        <w:t>《</w:t>
      </w:r>
      <w:r>
        <w:rPr>
          <w:rFonts w:hint="eastAsia" w:ascii="仿宋_GB2312" w:hAnsi="仿宋_GB2312" w:eastAsia="仿宋_GB2312" w:cs="仿宋_GB2312"/>
          <w:sz w:val="32"/>
          <w:szCs w:val="32"/>
          <w:lang w:val="en-US" w:eastAsia="zh-CN"/>
        </w:rPr>
        <w:t>关于规范口腔种植等医疗服务价格项目的通知</w:t>
      </w:r>
      <w:r>
        <w:rPr>
          <w:rFonts w:hint="eastAsia" w:ascii="Times New Roman" w:hAnsi="Times New Roman" w:eastAsia="仿宋_GB2312" w:cs="Times New Roman"/>
          <w:sz w:val="32"/>
          <w:szCs w:val="32"/>
          <w:lang w:val="en" w:eastAsia="zh-CN"/>
        </w:rPr>
        <w:t>》</w:t>
      </w:r>
      <w:r>
        <w:rPr>
          <w:rFonts w:hint="eastAsia" w:eastAsia="仿宋_GB2312" w:cs="Times New Roman"/>
          <w:sz w:val="32"/>
          <w:szCs w:val="32"/>
          <w:lang w:val="en" w:eastAsia="zh-CN"/>
        </w:rPr>
        <w:t>（浙医保发〔2023〕10号）</w:t>
      </w:r>
      <w:r>
        <w:rPr>
          <w:rFonts w:hint="eastAsia" w:ascii="Times New Roman" w:hAnsi="Times New Roman" w:eastAsia="仿宋_GB2312" w:cs="Times New Roman"/>
          <w:sz w:val="32"/>
          <w:szCs w:val="32"/>
          <w:lang w:val="en" w:eastAsia="zh-CN"/>
        </w:rPr>
        <w:t>要求</w:t>
      </w:r>
      <w:r>
        <w:rPr>
          <w:rFonts w:hint="eastAsia" w:ascii="Times New Roman" w:hAnsi="Times New Roman" w:eastAsia="仿宋_GB2312" w:cs="Times New Roman"/>
          <w:sz w:val="32"/>
          <w:szCs w:val="32"/>
          <w:lang w:val="en-US" w:eastAsia="zh-CN"/>
        </w:rPr>
        <w:t>，按照</w:t>
      </w:r>
      <w:r>
        <w:rPr>
          <w:rFonts w:hint="default" w:ascii="Times New Roman" w:hAnsi="Times New Roman" w:eastAsia="仿宋_GB2312" w:cs="Times New Roman"/>
          <w:sz w:val="32"/>
          <w:szCs w:val="32"/>
          <w:lang w:val="en" w:eastAsia="zh-CN"/>
        </w:rPr>
        <w:t>医疗服务价格管理相关规定，</w:t>
      </w:r>
      <w:r>
        <w:rPr>
          <w:rFonts w:hint="eastAsia" w:ascii="Times New Roman" w:hAnsi="Times New Roman" w:eastAsia="仿宋_GB2312" w:cs="Times New Roman"/>
          <w:sz w:val="32"/>
          <w:szCs w:val="32"/>
          <w:lang w:val="en" w:eastAsia="zh-CN"/>
        </w:rPr>
        <w:t>结合我市实际，对现行</w:t>
      </w:r>
      <w:r>
        <w:rPr>
          <w:rFonts w:hint="default" w:ascii="Times New Roman" w:hAnsi="Times New Roman" w:eastAsia="仿宋_GB2312" w:cs="Times New Roman"/>
          <w:sz w:val="32"/>
          <w:szCs w:val="32"/>
          <w:lang w:val="en-US" w:eastAsia="zh-CN"/>
        </w:rPr>
        <w:t>口腔种植</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医疗服务价格项目</w:t>
      </w:r>
      <w:r>
        <w:rPr>
          <w:rFonts w:hint="eastAsia" w:ascii="Times New Roman" w:hAnsi="Times New Roman" w:eastAsia="仿宋_GB2312" w:cs="Times New Roman"/>
          <w:sz w:val="32"/>
          <w:szCs w:val="32"/>
          <w:lang w:val="en-US" w:eastAsia="zh-CN"/>
        </w:rPr>
        <w:t>进行规范</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现就有关事项通知如下：</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一、规范口腔种植医疗服务价格项目</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按照“产出导向”的基本原则，设立种植体植入费（单颗）等15项口腔种植医疗服务价格项目（附件1</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并实行政府指导价管理，制定</w:t>
      </w:r>
      <w:r>
        <w:rPr>
          <w:rFonts w:hint="eastAsia" w:eastAsia="仿宋_GB2312" w:cs="Times New Roman"/>
          <w:sz w:val="32"/>
          <w:szCs w:val="32"/>
          <w:lang w:val="en-US" w:eastAsia="zh-CN"/>
        </w:rPr>
        <w:t>温州</w:t>
      </w:r>
      <w:r>
        <w:rPr>
          <w:rFonts w:hint="eastAsia" w:ascii="Times New Roman" w:hAnsi="Times New Roman" w:eastAsia="仿宋_GB2312" w:cs="Times New Roman"/>
          <w:sz w:val="32"/>
          <w:szCs w:val="32"/>
          <w:lang w:val="en-US" w:eastAsia="zh-CN"/>
        </w:rPr>
        <w:t>市公立医疗机构试行价格，删除33H0008口腔种植自主定价的医疗服务项目。公立医疗机构提供口腔种植医疗服务，主要采取“服务项目+专用耗材”分开计价的收费方式，即种植体植入费与种植体耗材系统价格分开计价；牙冠置入费与牙冠产品价格分开计价；植骨手术费与骨粉、骨膜价格分开计价。3D模型打印（口腔）、医学3D导板打印（口腔）通常只用于全牙弓等复杂种植，暂不实行“技耗分离”，无除外内容。专用耗材按实际采购价零差率销售。</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二、实施口腔种植医疗服务价格全流程调控</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根据国家医疗保障局《关于印发口腔种植医疗服务价格调控操作要点（试行）的通知》相关要求，按照“诊查检查+种植体植入+牙冠置入”的医疗服务价格实施整体调控，</w:t>
      </w:r>
      <w:r>
        <w:rPr>
          <w:rFonts w:hint="eastAsia" w:ascii="Times New Roman" w:hAnsi="Times New Roman" w:eastAsia="仿宋_GB2312" w:cs="Times New Roman"/>
          <w:sz w:val="32"/>
          <w:szCs w:val="32"/>
          <w:lang w:val="en" w:eastAsia="zh-CN"/>
        </w:rPr>
        <w:t>温州市</w:t>
      </w:r>
      <w:r>
        <w:rPr>
          <w:rFonts w:hint="eastAsia" w:ascii="Times New Roman" w:hAnsi="Times New Roman" w:eastAsia="仿宋_GB2312" w:cs="Times New Roman"/>
          <w:sz w:val="32"/>
          <w:szCs w:val="32"/>
          <w:lang w:val="en-US" w:eastAsia="zh-CN"/>
        </w:rPr>
        <w:t>单颗常规种植牙调控目标</w:t>
      </w:r>
      <w:r>
        <w:rPr>
          <w:rFonts w:hint="eastAsia" w:ascii="Times New Roman" w:hAnsi="Times New Roman" w:eastAsia="仿宋_GB2312" w:cs="Times New Roman"/>
          <w:sz w:val="32"/>
          <w:szCs w:val="32"/>
          <w:lang w:val="en" w:eastAsia="zh-CN"/>
        </w:rPr>
        <w:t>三</w:t>
      </w:r>
      <w:r>
        <w:rPr>
          <w:rFonts w:hint="eastAsia" w:ascii="Times New Roman" w:hAnsi="Times New Roman" w:eastAsia="仿宋_GB2312" w:cs="Times New Roman"/>
          <w:sz w:val="32"/>
          <w:szCs w:val="32"/>
          <w:lang w:val="en-US" w:eastAsia="zh-CN"/>
        </w:rPr>
        <w:t>甲</w:t>
      </w:r>
      <w:r>
        <w:rPr>
          <w:rFonts w:hint="eastAsia" w:ascii="Times New Roman" w:hAnsi="Times New Roman" w:eastAsia="仿宋_GB2312" w:cs="Times New Roman"/>
          <w:sz w:val="32"/>
          <w:szCs w:val="32"/>
          <w:lang w:val="en" w:eastAsia="zh-CN"/>
        </w:rPr>
        <w:t>公立医疗机构</w:t>
      </w:r>
      <w:r>
        <w:rPr>
          <w:rFonts w:hint="eastAsia" w:ascii="Times New Roman" w:hAnsi="Times New Roman" w:eastAsia="仿宋_GB2312" w:cs="Times New Roman"/>
          <w:sz w:val="32"/>
          <w:szCs w:val="32"/>
          <w:lang w:val="en-US" w:eastAsia="zh-CN"/>
        </w:rPr>
        <w:t>不超过4500元，三乙公立医疗机构不超过4330元，</w:t>
      </w:r>
      <w:r>
        <w:rPr>
          <w:rFonts w:hint="eastAsia" w:ascii="Times New Roman" w:hAnsi="Times New Roman" w:eastAsia="仿宋_GB2312" w:cs="Times New Roman"/>
          <w:sz w:val="32"/>
          <w:szCs w:val="32"/>
          <w:lang w:val="en" w:eastAsia="zh-CN"/>
        </w:rPr>
        <w:t>二级及以下公立医疗机构</w:t>
      </w:r>
      <w:r>
        <w:rPr>
          <w:rFonts w:hint="eastAsia" w:ascii="Times New Roman" w:hAnsi="Times New Roman" w:eastAsia="仿宋_GB2312" w:cs="Times New Roman"/>
          <w:sz w:val="32"/>
          <w:szCs w:val="32"/>
          <w:lang w:val="en-US" w:eastAsia="zh-CN"/>
        </w:rPr>
        <w:t>不超过4160元。为避免实际收费超过调控目标，留出5%</w:t>
      </w:r>
      <w:r>
        <w:rPr>
          <w:rFonts w:hint="eastAsia" w:eastAsia="仿宋_GB2312" w:cs="Times New Roman"/>
          <w:sz w:val="32"/>
          <w:szCs w:val="32"/>
          <w:lang w:val="en-US" w:eastAsia="zh-CN"/>
        </w:rPr>
        <w:t>的</w:t>
      </w:r>
      <w:r>
        <w:rPr>
          <w:rFonts w:hint="eastAsia" w:ascii="Times New Roman" w:hAnsi="Times New Roman" w:eastAsia="仿宋_GB2312" w:cs="Times New Roman"/>
          <w:sz w:val="32"/>
          <w:szCs w:val="32"/>
          <w:lang w:val="en-US" w:eastAsia="zh-CN"/>
        </w:rPr>
        <w:t>余量，即单颗常规种植牙全流程总价三甲</w:t>
      </w:r>
      <w:r>
        <w:rPr>
          <w:rFonts w:hint="eastAsia" w:ascii="Times New Roman" w:hAnsi="Times New Roman" w:eastAsia="仿宋_GB2312" w:cs="Times New Roman"/>
          <w:sz w:val="32"/>
          <w:szCs w:val="32"/>
          <w:lang w:val="en" w:eastAsia="zh-CN"/>
        </w:rPr>
        <w:t>公立医疗机构</w:t>
      </w:r>
      <w:r>
        <w:rPr>
          <w:rFonts w:hint="eastAsia" w:ascii="Times New Roman" w:hAnsi="Times New Roman" w:eastAsia="仿宋_GB2312" w:cs="Times New Roman"/>
          <w:sz w:val="32"/>
          <w:szCs w:val="32"/>
          <w:lang w:val="en-US" w:eastAsia="zh-CN"/>
        </w:rPr>
        <w:t>不超过4275元，三乙公立医疗机构不超过</w:t>
      </w:r>
      <w:r>
        <w:rPr>
          <w:rFonts w:hint="eastAsia" w:eastAsia="仿宋_GB2312" w:cs="Times New Roman"/>
          <w:sz w:val="32"/>
          <w:szCs w:val="32"/>
          <w:lang w:val="en-US" w:eastAsia="zh-CN"/>
        </w:rPr>
        <w:t>4115</w:t>
      </w:r>
      <w:r>
        <w:rPr>
          <w:rFonts w:hint="eastAsia" w:ascii="Times New Roman" w:hAnsi="Times New Roman" w:eastAsia="仿宋_GB2312" w:cs="Times New Roman"/>
          <w:sz w:val="32"/>
          <w:szCs w:val="32"/>
          <w:lang w:val="en-US" w:eastAsia="zh-CN"/>
        </w:rPr>
        <w:t>元，</w:t>
      </w:r>
      <w:r>
        <w:rPr>
          <w:rFonts w:hint="eastAsia" w:ascii="Times New Roman" w:hAnsi="Times New Roman" w:eastAsia="仿宋_GB2312" w:cs="Times New Roman"/>
          <w:sz w:val="32"/>
          <w:szCs w:val="32"/>
          <w:lang w:val="en" w:eastAsia="zh-CN"/>
        </w:rPr>
        <w:t>二级及以下公立医疗机构</w:t>
      </w:r>
      <w:r>
        <w:rPr>
          <w:rFonts w:hint="eastAsia" w:ascii="Times New Roman" w:hAnsi="Times New Roman" w:eastAsia="仿宋_GB2312" w:cs="Times New Roman"/>
          <w:sz w:val="32"/>
          <w:szCs w:val="32"/>
          <w:lang w:val="en-US" w:eastAsia="zh-CN"/>
        </w:rPr>
        <w:t>不超过</w:t>
      </w:r>
      <w:r>
        <w:rPr>
          <w:rFonts w:hint="eastAsia" w:eastAsia="仿宋_GB2312" w:cs="Times New Roman"/>
          <w:sz w:val="32"/>
          <w:szCs w:val="32"/>
          <w:lang w:val="en-US" w:eastAsia="zh-CN"/>
        </w:rPr>
        <w:t>3950</w:t>
      </w:r>
      <w:r>
        <w:rPr>
          <w:rFonts w:hint="eastAsia" w:ascii="Times New Roman" w:hAnsi="Times New Roman" w:eastAsia="仿宋_GB2312" w:cs="Times New Roman"/>
          <w:sz w:val="32"/>
          <w:szCs w:val="32"/>
          <w:lang w:val="en-US" w:eastAsia="zh-CN"/>
        </w:rPr>
        <w:t>元，包含种植全过程的诊查费、生化检验、影像检查费、种植体植入费、牙冠置入费、扫描设计建模费、麻醉费、药品费用的总和。</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三、调整完善龈下洁治项目价格</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完善</w:t>
      </w:r>
      <w:r>
        <w:rPr>
          <w:rFonts w:hint="eastAsia" w:ascii="Times New Roman" w:hAnsi="Times New Roman" w:eastAsia="仿宋_GB2312" w:cs="Times New Roman"/>
          <w:sz w:val="32"/>
          <w:szCs w:val="32"/>
          <w:lang w:val="en-US" w:eastAsia="zh-CN"/>
        </w:rPr>
        <w:t>龈下洁治项目名称</w:t>
      </w:r>
      <w:r>
        <w:rPr>
          <w:rFonts w:hint="eastAsia" w:eastAsia="仿宋_GB2312" w:cs="Times New Roman"/>
          <w:sz w:val="32"/>
          <w:szCs w:val="32"/>
          <w:lang w:val="en-US" w:eastAsia="zh-CN"/>
        </w:rPr>
        <w:t>和</w:t>
      </w:r>
      <w:r>
        <w:rPr>
          <w:rFonts w:hint="eastAsia" w:ascii="Times New Roman" w:hAnsi="Times New Roman" w:eastAsia="仿宋_GB2312" w:cs="Times New Roman"/>
          <w:sz w:val="32"/>
          <w:szCs w:val="32"/>
          <w:lang w:val="en-US" w:eastAsia="zh-CN"/>
        </w:rPr>
        <w:t>项目内涵，调整项目价格（详见附件2）。</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default" w:ascii="黑体" w:hAnsi="黑体" w:eastAsia="黑体" w:cs="黑体"/>
          <w:sz w:val="32"/>
          <w:szCs w:val="32"/>
          <w:lang w:val="en" w:eastAsia="zh-CN"/>
        </w:rPr>
      </w:pPr>
      <w:r>
        <w:rPr>
          <w:rFonts w:hint="eastAsia" w:ascii="黑体" w:hAnsi="黑体" w:eastAsia="黑体" w:cs="黑体"/>
          <w:sz w:val="32"/>
          <w:szCs w:val="32"/>
          <w:lang w:val="en-US" w:eastAsia="zh-CN"/>
        </w:rPr>
        <w:t>四、相关要求</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楷体_GB2312" w:hAnsi="楷体_GB2312" w:eastAsia="仿宋_GB2312" w:cs="楷体_GB2312"/>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）做好全流程</w:t>
      </w:r>
      <w:r>
        <w:rPr>
          <w:rFonts w:hint="eastAsia" w:ascii="楷体_GB2312" w:hAnsi="楷体_GB2312" w:eastAsia="楷体_GB2312" w:cs="楷体_GB2312"/>
          <w:sz w:val="32"/>
          <w:szCs w:val="32"/>
          <w:lang w:eastAsia="zh-CN"/>
        </w:rPr>
        <w:t>医疗服务</w:t>
      </w:r>
      <w:r>
        <w:rPr>
          <w:rFonts w:hint="eastAsia" w:ascii="楷体_GB2312" w:hAnsi="楷体_GB2312" w:eastAsia="楷体_GB2312" w:cs="楷体_GB2312"/>
          <w:sz w:val="32"/>
          <w:szCs w:val="32"/>
        </w:rPr>
        <w:t>价格调控。</w:t>
      </w:r>
      <w:r>
        <w:rPr>
          <w:rFonts w:hint="eastAsia" w:ascii="Times New Roman" w:hAnsi="Times New Roman" w:eastAsia="仿宋_GB2312" w:cs="Times New Roman"/>
          <w:sz w:val="32"/>
          <w:szCs w:val="32"/>
          <w:lang w:val="en-US" w:eastAsia="zh-CN"/>
        </w:rPr>
        <w:t>各县（市、区）医疗保障局按照本通知要求，做好规范后口腔种植医疗服务价格政策</w:t>
      </w:r>
      <w:r>
        <w:rPr>
          <w:rFonts w:hint="eastAsia" w:eastAsia="仿宋_GB2312" w:cs="Times New Roman"/>
          <w:sz w:val="32"/>
          <w:szCs w:val="32"/>
          <w:lang w:val="en-US" w:eastAsia="zh-CN"/>
        </w:rPr>
        <w:t>与现行口腔种植医保支付政策的衔接，加强政策</w:t>
      </w:r>
      <w:r>
        <w:rPr>
          <w:rFonts w:hint="eastAsia" w:ascii="Times New Roman" w:hAnsi="Times New Roman" w:eastAsia="仿宋_GB2312" w:cs="Times New Roman"/>
          <w:sz w:val="32"/>
          <w:szCs w:val="32"/>
          <w:lang w:val="en-US" w:eastAsia="zh-CN"/>
        </w:rPr>
        <w:t>宣传</w:t>
      </w:r>
      <w:r>
        <w:rPr>
          <w:rFonts w:hint="eastAsia" w:eastAsia="仿宋_GB2312" w:cs="Times New Roman"/>
          <w:sz w:val="32"/>
          <w:szCs w:val="32"/>
          <w:lang w:val="en-US" w:eastAsia="zh-CN"/>
        </w:rPr>
        <w:t>解读</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采取针对性的落实举措</w:t>
      </w:r>
      <w:r>
        <w:rPr>
          <w:rFonts w:hint="eastAsia" w:ascii="Times New Roman" w:hAnsi="Times New Roman" w:eastAsia="仿宋_GB2312" w:cs="Times New Roman"/>
          <w:sz w:val="32"/>
          <w:szCs w:val="32"/>
          <w:lang w:eastAsia="zh-CN"/>
        </w:rPr>
        <w:t>，确保政策科学合理落地。</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楷体_GB2312" w:hAnsi="楷体_GB2312" w:eastAsia="楷体_GB2312" w:cs="楷体_GB2312"/>
          <w:sz w:val="32"/>
          <w:szCs w:val="32"/>
          <w:lang w:val="en-US" w:eastAsia="zh-CN"/>
        </w:rPr>
        <w:t>（二）加强对公立医疗机构的政策指导。</w:t>
      </w:r>
      <w:r>
        <w:rPr>
          <w:rFonts w:hint="eastAsia" w:ascii="Times New Roman" w:hAnsi="Times New Roman" w:eastAsia="仿宋_GB2312" w:cs="Times New Roman"/>
          <w:sz w:val="32"/>
          <w:szCs w:val="32"/>
          <w:lang w:val="en-US" w:eastAsia="zh-CN"/>
        </w:rPr>
        <w:t>公立医疗机构口腔种植医疗服务价格由医疗机构自主定价调整为政府指导价管理，各县（市、区）医疗保障局要</w:t>
      </w:r>
      <w:r>
        <w:rPr>
          <w:rFonts w:hint="eastAsia" w:ascii="Times New Roman" w:hAnsi="Times New Roman" w:eastAsia="仿宋_GB2312" w:cs="Times New Roman"/>
          <w:kern w:val="2"/>
          <w:sz w:val="32"/>
          <w:szCs w:val="32"/>
          <w:lang w:val="en-US" w:eastAsia="zh-CN" w:bidi="ar-SA"/>
        </w:rPr>
        <w:t>切实履行价格管理职责，坚持公益性原则，有效降低公立医疗机构口腔种植医疗服务和耗材虚高价格，发挥公立医疗机构公益性价格对市场的参照和锚定作用，督促公立医疗机构严格执行口腔种植医疗服务政府指导价和单颗常规种植牙全流程总价，按规定进行价格公示，及时清理自主定价的口腔种植医疗服务项目。</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（三）强化对民营医疗机构的监管引导。</w:t>
      </w:r>
      <w:r>
        <w:rPr>
          <w:rFonts w:hint="eastAsia" w:ascii="Times New Roman" w:hAnsi="Times New Roman" w:eastAsia="仿宋_GB2312" w:cs="Times New Roman"/>
          <w:sz w:val="32"/>
          <w:szCs w:val="32"/>
          <w:lang w:val="en-US" w:eastAsia="zh-CN"/>
        </w:rPr>
        <w:t>民营医疗机构口腔种植医疗服务价格实行市场调节，各县（市、区）医疗保障局要严格按照医保定点协议</w:t>
      </w:r>
      <w:r>
        <w:rPr>
          <w:rFonts w:hint="default" w:ascii="Times New Roman" w:hAnsi="Times New Roman" w:eastAsia="仿宋_GB2312" w:cs="Times New Roman"/>
          <w:sz w:val="32"/>
          <w:szCs w:val="32"/>
          <w:lang w:val="en-US" w:eastAsia="zh-CN"/>
        </w:rPr>
        <w:t>管理相关</w:t>
      </w:r>
      <w:r>
        <w:rPr>
          <w:rFonts w:hint="eastAsia" w:ascii="Times New Roman" w:hAnsi="Times New Roman" w:eastAsia="仿宋_GB2312" w:cs="Times New Roman"/>
          <w:sz w:val="32"/>
          <w:szCs w:val="32"/>
          <w:lang w:val="en-US" w:eastAsia="zh-CN"/>
        </w:rPr>
        <w:t>要求</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指导民营医疗机构</w:t>
      </w:r>
      <w:r>
        <w:rPr>
          <w:rFonts w:hint="eastAsia" w:eastAsia="仿宋_GB2312" w:cs="Times New Roman"/>
          <w:sz w:val="32"/>
          <w:szCs w:val="32"/>
          <w:lang w:val="en-US" w:eastAsia="zh-CN"/>
        </w:rPr>
        <w:t>主动参加</w:t>
      </w:r>
      <w:r>
        <w:rPr>
          <w:rFonts w:hint="eastAsia" w:ascii="Times New Roman" w:hAnsi="Times New Roman" w:eastAsia="仿宋_GB2312" w:cs="Times New Roman"/>
          <w:sz w:val="32"/>
          <w:szCs w:val="32"/>
          <w:lang w:val="en-US" w:eastAsia="zh-CN"/>
        </w:rPr>
        <w:t>口腔种植体集采、</w:t>
      </w:r>
      <w:r>
        <w:rPr>
          <w:rFonts w:hint="default" w:ascii="Times New Roman" w:hAnsi="Times New Roman" w:eastAsia="仿宋_GB2312" w:cs="Times New Roman"/>
          <w:sz w:val="32"/>
          <w:szCs w:val="32"/>
          <w:lang w:val="en-US" w:eastAsia="zh-CN"/>
        </w:rPr>
        <w:t>响应</w:t>
      </w:r>
      <w:r>
        <w:rPr>
          <w:rFonts w:hint="eastAsia" w:ascii="Times New Roman" w:hAnsi="Times New Roman" w:eastAsia="仿宋_GB2312" w:cs="Times New Roman"/>
          <w:sz w:val="32"/>
          <w:szCs w:val="32"/>
          <w:lang w:val="en-US" w:eastAsia="zh-CN"/>
        </w:rPr>
        <w:t>全流程医疗服务价格调控，按照公平合法、诚实信用和质价相符的原则，对比本地区公立医疗机构，制定符合市场竞争规律和群众预期的合理价格，主动在明显区域按规定进行价格公示，并保障公示信息的真实性、及时性和完整性。各县（市）医疗保障局在官方网站上展示辖区内民营医疗机构口腔种植价格和费用、是否参加口腔种植体集采和响应全流程医疗服务价格调控等情况，为患者就医提供指引。</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（四）加大口腔种植医疗服务价格治理力度。</w:t>
      </w:r>
      <w:r>
        <w:rPr>
          <w:rFonts w:hint="eastAsia" w:ascii="Times New Roman" w:hAnsi="Times New Roman" w:eastAsia="仿宋_GB2312" w:cs="Times New Roman"/>
          <w:sz w:val="32"/>
          <w:szCs w:val="32"/>
          <w:lang w:val="en-US" w:eastAsia="zh-CN"/>
        </w:rPr>
        <w:t>各县（</w:t>
      </w:r>
      <w:r>
        <w:rPr>
          <w:rFonts w:hint="eastAsia" w:ascii="Times New Roman" w:hAnsi="Times New Roman" w:eastAsia="仿宋_GB2312" w:cs="Times New Roman"/>
          <w:sz w:val="32"/>
          <w:szCs w:val="32"/>
          <w:u w:val="none"/>
          <w:lang w:val="en-US" w:eastAsia="zh-CN"/>
        </w:rPr>
        <w:t>市、区）</w:t>
      </w:r>
      <w:r>
        <w:rPr>
          <w:rFonts w:hint="eastAsia" w:ascii="Times New Roman" w:hAnsi="Times New Roman" w:eastAsia="仿宋_GB2312" w:cs="Times New Roman"/>
          <w:sz w:val="32"/>
          <w:szCs w:val="32"/>
          <w:lang w:val="en-US" w:eastAsia="zh-CN"/>
        </w:rPr>
        <w:t>医疗保障局要密切关注各级各类医疗机构口腔种植医疗服务价格执行情况和种植体等耗材实际采购情况，</w:t>
      </w:r>
      <w:r>
        <w:rPr>
          <w:rFonts w:hint="eastAsia" w:ascii="Times New Roman" w:hAnsi="Times New Roman" w:eastAsia="仿宋_GB2312" w:cs="Times New Roman"/>
          <w:color w:val="auto"/>
          <w:sz w:val="32"/>
          <w:szCs w:val="32"/>
          <w:lang w:val="en-US" w:eastAsia="zh-CN"/>
        </w:rPr>
        <w:t>将价格调控监测与</w:t>
      </w:r>
      <w:r>
        <w:rPr>
          <w:rFonts w:hint="default" w:ascii="Times New Roman" w:hAnsi="Times New Roman" w:eastAsia="仿宋_GB2312" w:cs="Times New Roman"/>
          <w:color w:val="auto"/>
          <w:sz w:val="32"/>
          <w:szCs w:val="32"/>
          <w:lang w:eastAsia="zh-CN"/>
        </w:rPr>
        <w:t>经办</w:t>
      </w:r>
      <w:r>
        <w:rPr>
          <w:rFonts w:hint="eastAsia" w:ascii="Times New Roman" w:hAnsi="Times New Roman" w:eastAsia="仿宋_GB2312" w:cs="Times New Roman"/>
          <w:color w:val="auto"/>
          <w:sz w:val="32"/>
          <w:szCs w:val="32"/>
          <w:lang w:val="en-US" w:eastAsia="zh-CN"/>
        </w:rPr>
        <w:t>日常稽核</w:t>
      </w:r>
      <w:r>
        <w:rPr>
          <w:rFonts w:hint="default" w:ascii="Times New Roman" w:hAnsi="Times New Roman" w:eastAsia="仿宋_GB2312" w:cs="Times New Roman"/>
          <w:color w:val="auto"/>
          <w:sz w:val="32"/>
          <w:szCs w:val="32"/>
          <w:lang w:eastAsia="zh-CN"/>
        </w:rPr>
        <w:t>相结合</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sz w:val="32"/>
          <w:szCs w:val="32"/>
          <w:lang w:val="en-US" w:eastAsia="zh-CN"/>
        </w:rPr>
        <w:t>将口腔种植专项治理“回头看”与医保基金飞行检查相结合，及时将检查过程中发现医疗机构重复收费、价格欺诈、虚假宣传等违法违规线索，以及提供口腔种植医疗服务过程中不合理不规范的检查诊疗行为，向行业主管部门、行政执法部门通报，确保治理措施落实落细。</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本通知自</w:t>
      </w:r>
      <w:r>
        <w:rPr>
          <w:rFonts w:hint="default" w:ascii="Times New Roman" w:hAnsi="Times New Roman" w:eastAsia="仿宋_GB2312" w:cs="Times New Roman"/>
          <w:sz w:val="32"/>
          <w:szCs w:val="32"/>
          <w:lang w:val="en-US" w:eastAsia="zh-CN"/>
        </w:rPr>
        <w:t>2023</w:t>
      </w:r>
      <w:r>
        <w:rPr>
          <w:rFonts w:hint="eastAsia" w:ascii="Times New Roman" w:hAnsi="Times New Roman" w:eastAsia="仿宋_GB2312" w:cs="Times New Roman"/>
          <w:sz w:val="32"/>
          <w:szCs w:val="32"/>
          <w:lang w:val="en-US" w:eastAsia="zh-CN"/>
        </w:rPr>
        <w:t>年</w:t>
      </w:r>
      <w:r>
        <w:rPr>
          <w:rFonts w:hint="eastAsia"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月</w:t>
      </w:r>
      <w:r>
        <w:rPr>
          <w:rFonts w:hint="eastAsia"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日起执行，试行期限自本通知执行之日起2年。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附件：1</w:t>
      </w:r>
      <w:r>
        <w:rPr>
          <w:rFonts w:hint="default" w:ascii="Times New Roman" w:hAnsi="Times New Roman" w:eastAsia="仿宋_GB2312" w:cs="Times New Roman"/>
          <w:sz w:val="32"/>
          <w:szCs w:val="32"/>
          <w:lang w:val="en" w:eastAsia="zh-CN"/>
        </w:rPr>
        <w:t>.口腔种植医疗服务价格项目及试行价格</w:t>
      </w:r>
      <w:r>
        <w:rPr>
          <w:rFonts w:hint="eastAsia" w:ascii="Times New Roman" w:hAnsi="Times New Roman" w:eastAsia="仿宋_GB2312" w:cs="Times New Roman"/>
          <w:sz w:val="32"/>
          <w:szCs w:val="32"/>
          <w:lang w:val="en-US" w:eastAsia="zh-CN"/>
        </w:rPr>
        <w:t>表</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default" w:ascii="Times New Roman" w:hAnsi="Times New Roman" w:eastAsia="仿宋_GB2312" w:cs="Times New Roman"/>
          <w:sz w:val="32"/>
          <w:szCs w:val="32"/>
          <w:lang w:val="en"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 w:eastAsia="zh-CN"/>
        </w:rPr>
        <w:t>.龈下刮治医疗服务价格项</w:t>
      </w:r>
      <w:r>
        <w:rPr>
          <w:rFonts w:hint="eastAsia" w:ascii="Times New Roman" w:hAnsi="Times New Roman" w:eastAsia="仿宋_GB2312" w:cs="Times New Roman"/>
          <w:sz w:val="32"/>
          <w:szCs w:val="32"/>
          <w:lang w:val="en-US" w:eastAsia="zh-CN"/>
        </w:rPr>
        <w:t>表</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760" w:firstLineChars="1800"/>
        <w:textAlignment w:val="auto"/>
        <w:rPr>
          <w:rFonts w:hint="eastAsia" w:eastAsia="仿宋_GB2312"/>
          <w:color w:val="auto"/>
          <w:sz w:val="32"/>
          <w:szCs w:val="32"/>
        </w:rPr>
      </w:pPr>
      <w:r>
        <w:rPr>
          <w:rFonts w:hint="eastAsia" w:eastAsia="仿宋_GB2312"/>
          <w:color w:val="auto"/>
          <w:sz w:val="32"/>
          <w:szCs w:val="32"/>
          <w:lang w:eastAsia="zh-CN"/>
        </w:rPr>
        <w:t>温州市</w:t>
      </w:r>
      <w:r>
        <w:rPr>
          <w:rFonts w:hint="eastAsia" w:eastAsia="仿宋_GB2312"/>
          <w:color w:val="auto"/>
          <w:sz w:val="32"/>
          <w:szCs w:val="32"/>
        </w:rPr>
        <w:t>医疗保障局</w:t>
      </w:r>
    </w:p>
    <w:p>
      <w:pPr>
        <w:keepNext w:val="0"/>
        <w:keepLines w:val="0"/>
        <w:pageBreakBefore w:val="0"/>
        <w:widowControl w:val="0"/>
        <w:kinsoku/>
        <w:wordWrap/>
        <w:overflowPunct/>
        <w:topLinePunct w:val="0"/>
        <w:autoSpaceDE/>
        <w:autoSpaceDN/>
        <w:bidi w:val="0"/>
        <w:adjustRightInd/>
        <w:snapToGrid/>
        <w:spacing w:line="520" w:lineRule="exact"/>
        <w:ind w:firstLine="5760" w:firstLineChars="1800"/>
        <w:textAlignment w:val="auto"/>
        <w:rPr>
          <w:rFonts w:hint="eastAsia" w:eastAsia="仿宋_GB2312"/>
          <w:color w:val="auto"/>
          <w:sz w:val="32"/>
          <w:szCs w:val="32"/>
        </w:rPr>
      </w:pPr>
      <w:r>
        <w:rPr>
          <w:rFonts w:eastAsia="仿宋_GB2312"/>
          <w:color w:val="auto"/>
          <w:sz w:val="32"/>
          <w:szCs w:val="32"/>
        </w:rPr>
        <w:t>20</w:t>
      </w:r>
      <w:r>
        <w:rPr>
          <w:rFonts w:hint="eastAsia" w:eastAsia="仿宋_GB2312"/>
          <w:color w:val="auto"/>
          <w:sz w:val="32"/>
          <w:szCs w:val="32"/>
        </w:rPr>
        <w:t>2</w:t>
      </w:r>
      <w:r>
        <w:rPr>
          <w:rFonts w:hint="eastAsia" w:eastAsia="仿宋_GB2312"/>
          <w:color w:val="auto"/>
          <w:sz w:val="32"/>
          <w:szCs w:val="32"/>
          <w:lang w:val="en-US" w:eastAsia="zh-CN"/>
        </w:rPr>
        <w:t>3</w:t>
      </w:r>
      <w:r>
        <w:rPr>
          <w:rFonts w:hint="eastAsia" w:eastAsia="仿宋_GB2312"/>
          <w:color w:val="auto"/>
          <w:sz w:val="32"/>
          <w:szCs w:val="32"/>
        </w:rPr>
        <w:t>年</w:t>
      </w:r>
      <w:r>
        <w:rPr>
          <w:rFonts w:hint="eastAsia" w:eastAsia="仿宋_GB2312"/>
          <w:color w:val="auto"/>
          <w:sz w:val="32"/>
          <w:szCs w:val="32"/>
          <w:lang w:val="en-US" w:eastAsia="zh-CN"/>
        </w:rPr>
        <w:t>3</w:t>
      </w:r>
      <w:r>
        <w:rPr>
          <w:rFonts w:hint="eastAsia" w:eastAsia="仿宋_GB2312"/>
          <w:color w:val="auto"/>
          <w:sz w:val="32"/>
          <w:szCs w:val="32"/>
        </w:rPr>
        <w:t>月</w:t>
      </w:r>
      <w:r>
        <w:rPr>
          <w:rFonts w:hint="eastAsia" w:eastAsia="仿宋_GB2312" w:cs="Times New Roman"/>
          <w:color w:val="auto"/>
          <w:sz w:val="32"/>
          <w:szCs w:val="32"/>
          <w:lang w:val="en-US" w:eastAsia="zh-CN"/>
        </w:rPr>
        <w:t>27</w:t>
      </w:r>
      <w:r>
        <w:rPr>
          <w:rFonts w:hint="eastAsia" w:eastAsia="仿宋_GB2312"/>
          <w:color w:val="auto"/>
          <w:sz w:val="32"/>
          <w:szCs w:val="32"/>
        </w:rPr>
        <w:t>日</w:t>
      </w:r>
    </w:p>
    <w:p>
      <w:pPr>
        <w:pStyle w:val="2"/>
        <w:rPr>
          <w:rFonts w:hint="eastAsia" w:ascii="Times New Roman" w:hAnsi="Times New Roman" w:eastAsia="仿宋_GB2312" w:cs="Times New Roman"/>
          <w:sz w:val="32"/>
          <w:szCs w:val="32"/>
          <w:lang w:val="en-US" w:eastAsia="zh-CN"/>
        </w:rPr>
      </w:pP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sectPr>
          <w:headerReference r:id="rId3" w:type="default"/>
          <w:footerReference r:id="rId4" w:type="default"/>
          <w:pgSz w:w="11906" w:h="16838"/>
          <w:pgMar w:top="2098" w:right="1531" w:bottom="1984" w:left="1531" w:header="850" w:footer="964" w:gutter="0"/>
          <w:pgNumType w:fmt="decimal"/>
          <w:cols w:space="720" w:num="1"/>
          <w:rtlGutter w:val="0"/>
          <w:docGrid w:type="lines" w:linePitch="312" w:charSpace="0"/>
        </w:sectPr>
      </w:pPr>
      <w:r>
        <w:rPr>
          <w:rFonts w:hint="eastAsia" w:ascii="Times New Roman" w:hAnsi="Times New Roman" w:eastAsia="仿宋_GB2312" w:cs="Times New Roman"/>
          <w:sz w:val="32"/>
          <w:szCs w:val="32"/>
          <w:lang w:val="en-US" w:eastAsia="zh-CN"/>
        </w:rPr>
        <w:t>（此件主动公开）</w:t>
      </w:r>
    </w:p>
    <w:p>
      <w:pPr>
        <w:spacing w:line="560" w:lineRule="exact"/>
        <w:ind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3"/>
        <w:rPr>
          <w:rFonts w:hint="eastAsia"/>
          <w:lang w:val="en-US" w:eastAsia="zh-CN"/>
        </w:rPr>
      </w:pPr>
    </w:p>
    <w:p>
      <w:pPr>
        <w:pStyle w:val="3"/>
        <w:ind w:left="0" w:leftChars="0" w:firstLine="0" w:firstLineChars="0"/>
        <w:jc w:val="center"/>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口腔种植医疗服务价格项目及试行价格表</w:t>
      </w:r>
    </w:p>
    <w:p>
      <w:pPr>
        <w:pStyle w:val="3"/>
        <w:rPr>
          <w:rFonts w:hint="eastAsia"/>
          <w:lang w:val="en-US" w:eastAsia="zh-CN"/>
        </w:rPr>
      </w:pPr>
    </w:p>
    <w:tbl>
      <w:tblPr>
        <w:tblStyle w:val="8"/>
        <w:tblW w:w="14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6" w:hRule="atLeast"/>
          <w:jc w:val="center"/>
        </w:trPr>
        <w:tc>
          <w:tcPr>
            <w:tcW w:w="1482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340" w:lineRule="exact"/>
              <w:jc w:val="both"/>
              <w:textAlignment w:val="top"/>
              <w:rPr>
                <w:rFonts w:hint="default" w:ascii="Times New Roman" w:hAnsi="Times New Roman" w:eastAsia="仿宋_GB2312" w:cs="Times New Roman"/>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说明：</w:t>
            </w:r>
            <w:r>
              <w:rPr>
                <w:rFonts w:hint="default" w:ascii="Times New Roman" w:hAnsi="Times New Roman" w:eastAsia="仿宋_GB2312" w:cs="Times New Roman"/>
                <w:i w:val="0"/>
                <w:color w:val="000000"/>
                <w:kern w:val="0"/>
                <w:sz w:val="20"/>
                <w:szCs w:val="20"/>
                <w:u w:val="none"/>
                <w:lang w:val="en-US" w:eastAsia="zh-CN" w:bidi="ar"/>
              </w:rPr>
              <w:br w:type="textWrapping"/>
            </w:r>
            <w:r>
              <w:rPr>
                <w:rFonts w:hint="default" w:ascii="Times New Roman" w:hAnsi="Times New Roman" w:eastAsia="仿宋_GB2312" w:cs="Times New Roman"/>
                <w:i w:val="0"/>
                <w:color w:val="000000"/>
                <w:kern w:val="0"/>
                <w:sz w:val="20"/>
                <w:szCs w:val="20"/>
                <w:u w:val="none"/>
                <w:lang w:val="en-US" w:eastAsia="zh-CN" w:bidi="ar"/>
              </w:rPr>
              <w:t>1．植入体为种植体、基台等植入牙床、包裹在牙龈内的医用耗材，置入体是指种植牙冠、义齿等安置在口腔内、暴露在牙龈之外，不与人体组织直接结合的医用耗材。  </w:t>
            </w:r>
          </w:p>
          <w:p>
            <w:pPr>
              <w:keepNext w:val="0"/>
              <w:keepLines w:val="0"/>
              <w:pageBreakBefore w:val="0"/>
              <w:widowControl w:val="0"/>
              <w:suppressLineNumbers w:val="0"/>
              <w:kinsoku/>
              <w:wordWrap/>
              <w:overflowPunct w:val="0"/>
              <w:topLinePunct w:val="0"/>
              <w:autoSpaceDE/>
              <w:autoSpaceDN/>
              <w:bidi w:val="0"/>
              <w:adjustRightInd/>
              <w:snapToGrid/>
              <w:spacing w:line="340" w:lineRule="exact"/>
              <w:jc w:val="both"/>
              <w:textAlignment w:val="top"/>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项目内涵中“价格构成”指制定项目价格应涵盖的各类资源消耗,医疗机构实际提供服务时,“价格构成”的个别要素因患者个体差异可以不发生的,除另有政策规定外,允许医疗机构收费适用相应的项目和价格政策。此外，“价格构成”用于确定计价单元的边界，不应作为临床技术标准理解，不是医疗服务实际操作方式、路径、步骤、程序的强制性要求。</w:t>
            </w:r>
          </w:p>
          <w:p>
            <w:pPr>
              <w:keepNext w:val="0"/>
              <w:keepLines w:val="0"/>
              <w:pageBreakBefore w:val="0"/>
              <w:widowControl w:val="0"/>
              <w:suppressLineNumbers w:val="0"/>
              <w:kinsoku/>
              <w:wordWrap/>
              <w:overflowPunct w:val="0"/>
              <w:topLinePunct w:val="0"/>
              <w:autoSpaceDE/>
              <w:autoSpaceDN/>
              <w:bidi w:val="0"/>
              <w:adjustRightInd/>
              <w:snapToGrid/>
              <w:spacing w:line="340" w:lineRule="exact"/>
              <w:jc w:val="both"/>
              <w:textAlignment w:val="top"/>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项目内涵中“基本物资消耗”指原则上限于不应或不必要与医疗服务项目分割的易耗品，包括但不限于各类消杀用品、储存用品、清洁用品、个人防护用品、垃圾处理用品、试戴材料、铸造包埋材、义齿清洁材料、牙科分离剂、模型材料、蜡型材料、车针、排龈材料、菌斑指示剂、义齿稳固剂、印模材料、咬合记录材料、咬合检查材料、研磨抛光材料、冲洗液、润滑剂、灌洗液、棉球、棉签、纱布（垫）、护垫、衬垫、手术巾（单）、治疗巾（单）、治疗护理盘</w:t>
            </w:r>
            <w:r>
              <w:rPr>
                <w:rFonts w:hint="eastAsia" w:eastAsia="仿宋_GB2312" w:cs="Times New Roman"/>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包）、注射器、压舌板、滑石粉、防渗漏垫、标签、操作器具、冲洗工具。基本物资消耗成本计入项目价格，不另行收费。除基本物资消耗以外的其他耗材，按照实际采购价格零差率销售。   </w:t>
            </w:r>
          </w:p>
          <w:p>
            <w:pPr>
              <w:keepNext w:val="0"/>
              <w:keepLines w:val="0"/>
              <w:pageBreakBefore w:val="0"/>
              <w:widowControl w:val="0"/>
              <w:suppressLineNumbers w:val="0"/>
              <w:kinsoku/>
              <w:wordWrap/>
              <w:overflowPunct w:val="0"/>
              <w:topLinePunct w:val="0"/>
              <w:autoSpaceDE/>
              <w:autoSpaceDN/>
              <w:bidi w:val="0"/>
              <w:adjustRightInd/>
              <w:snapToGrid/>
              <w:spacing w:line="340" w:lineRule="exact"/>
              <w:jc w:val="both"/>
              <w:textAlignment w:val="top"/>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4．备注中即刻种植指拔牙或牙体缺失当日完成种植体植入的情况；即刻修复指种植体植入后1周以内完成牙冠置入的情形。</w:t>
            </w:r>
          </w:p>
          <w:p>
            <w:pPr>
              <w:keepNext w:val="0"/>
              <w:keepLines w:val="0"/>
              <w:pageBreakBefore w:val="0"/>
              <w:widowControl w:val="0"/>
              <w:suppressLineNumbers w:val="0"/>
              <w:kinsoku/>
              <w:wordWrap/>
              <w:overflowPunct w:val="0"/>
              <w:topLinePunct w:val="0"/>
              <w:autoSpaceDE/>
              <w:autoSpaceDN/>
              <w:bidi w:val="0"/>
              <w:adjustRightInd/>
              <w:snapToGrid/>
              <w:spacing w:line="340" w:lineRule="exact"/>
              <w:jc w:val="both"/>
              <w:textAlignment w:val="top"/>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5．口腔内简单植骨指通过骨替代材料引导骨再生或填充牙槽嵴骨量；口腔内复杂植骨包括上颌窦外提升植骨、牙槽嵴块状自体骨移植；口腔内一般植骨指简单植骨与复杂植骨以外各类形式的植骨技术。</w:t>
            </w:r>
          </w:p>
          <w:p>
            <w:pPr>
              <w:keepNext w:val="0"/>
              <w:keepLines w:val="0"/>
              <w:pageBreakBefore w:val="0"/>
              <w:widowControl w:val="0"/>
              <w:suppressLineNumbers w:val="0"/>
              <w:kinsoku/>
              <w:wordWrap/>
              <w:overflowPunct w:val="0"/>
              <w:topLinePunct w:val="0"/>
              <w:autoSpaceDE/>
              <w:autoSpaceDN/>
              <w:bidi w:val="0"/>
              <w:adjustRightInd/>
              <w:snapToGrid/>
              <w:spacing w:line="340" w:lineRule="exact"/>
              <w:jc w:val="both"/>
              <w:textAlignment w:val="top"/>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6．医疗机构应对本院施治的口腔内牙齿缺失植入体、置入体进行保质保修，保修范围内出现损坏，医疗机构应免费进行修理、再制作，不得向患者收取费用。</w:t>
            </w:r>
          </w:p>
          <w:p>
            <w:pPr>
              <w:keepNext w:val="0"/>
              <w:keepLines w:val="0"/>
              <w:pageBreakBefore w:val="0"/>
              <w:widowControl w:val="0"/>
              <w:suppressLineNumbers w:val="0"/>
              <w:kinsoku/>
              <w:wordWrap/>
              <w:overflowPunct w:val="0"/>
              <w:topLinePunct w:val="0"/>
              <w:autoSpaceDE/>
              <w:autoSpaceDN/>
              <w:bidi w:val="0"/>
              <w:adjustRightInd/>
              <w:snapToGrid/>
              <w:spacing w:line="340" w:lineRule="exact"/>
              <w:jc w:val="both"/>
              <w:textAlignment w:val="top"/>
              <w:rPr>
                <w:rFonts w:hint="eastAsia" w:ascii="宋体" w:hAnsi="宋体" w:eastAsia="宋体" w:cs="宋体"/>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口腔医学3D项目，是指为口腔种植手术方案设计、导航定位等提供辅助的服务。医疗机构自行制作牙冠所进行的3D扫描设计、打印切削，以及翻模精修、烧结上釉、上色调改等具体操作、作为成本要素计入种植牙牙冠价格，不再将上述牙冠加工制作的具体操作步骤作为医疗服务价格项目向患者收费</w:t>
            </w:r>
            <w:bookmarkStart w:id="0" w:name="_GoBack"/>
            <w:bookmarkEnd w:id="0"/>
            <w:r>
              <w:rPr>
                <w:rFonts w:hint="default" w:ascii="Times New Roman" w:hAnsi="Times New Roman" w:eastAsia="仿宋_GB2312" w:cs="Times New Roman"/>
                <w:i w:val="0"/>
                <w:color w:val="000000"/>
                <w:kern w:val="0"/>
                <w:sz w:val="20"/>
                <w:szCs w:val="20"/>
                <w:u w:val="none"/>
                <w:lang w:val="en-US" w:eastAsia="zh-CN" w:bidi="ar"/>
              </w:rPr>
              <w:t>。</w:t>
            </w:r>
          </w:p>
        </w:tc>
      </w:tr>
    </w:tbl>
    <w:p>
      <w:pPr>
        <w:pStyle w:val="3"/>
        <w:rPr>
          <w:rFonts w:hint="eastAsia"/>
          <w:lang w:val="en-US" w:eastAsia="zh-CN"/>
        </w:rPr>
      </w:pPr>
    </w:p>
    <w:tbl>
      <w:tblPr>
        <w:tblStyle w:val="8"/>
        <w:tblW w:w="14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
        <w:gridCol w:w="1757"/>
        <w:gridCol w:w="1474"/>
        <w:gridCol w:w="3742"/>
        <w:gridCol w:w="624"/>
        <w:gridCol w:w="624"/>
        <w:gridCol w:w="888"/>
        <w:gridCol w:w="914"/>
        <w:gridCol w:w="1350"/>
        <w:gridCol w:w="2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blHeader/>
          <w:jc w:val="center"/>
        </w:trPr>
        <w:tc>
          <w:tcPr>
            <w:tcW w:w="397"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eastAsia" w:ascii="黑体" w:hAnsi="黑体" w:eastAsia="黑体" w:cs="黑体"/>
                <w:sz w:val="21"/>
                <w:szCs w:val="21"/>
                <w:vertAlign w:val="baseline"/>
              </w:rPr>
            </w:pPr>
            <w:r>
              <w:rPr>
                <w:rFonts w:hint="eastAsia" w:ascii="黑体" w:hAnsi="黑体" w:eastAsia="黑体" w:cs="黑体"/>
                <w:i w:val="0"/>
                <w:color w:val="000000"/>
                <w:kern w:val="0"/>
                <w:sz w:val="21"/>
                <w:szCs w:val="21"/>
                <w:u w:val="none"/>
                <w:lang w:val="en-US" w:eastAsia="zh-CN" w:bidi="ar"/>
              </w:rPr>
              <w:t>序号</w:t>
            </w:r>
          </w:p>
        </w:tc>
        <w:tc>
          <w:tcPr>
            <w:tcW w:w="1757"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eastAsia" w:ascii="黑体" w:hAnsi="黑体" w:eastAsia="黑体" w:cs="黑体"/>
                <w:sz w:val="21"/>
                <w:szCs w:val="21"/>
                <w:vertAlign w:val="baseline"/>
                <w:lang w:eastAsia="zh-CN"/>
              </w:rPr>
            </w:pPr>
            <w:r>
              <w:rPr>
                <w:rFonts w:hint="eastAsia" w:ascii="黑体" w:hAnsi="黑体" w:eastAsia="黑体" w:cs="黑体"/>
                <w:i w:val="0"/>
                <w:color w:val="000000"/>
                <w:kern w:val="0"/>
                <w:sz w:val="21"/>
                <w:szCs w:val="21"/>
                <w:u w:val="none"/>
                <w:lang w:val="en-US" w:eastAsia="zh-CN" w:bidi="ar"/>
              </w:rPr>
              <w:t>项目编码</w:t>
            </w:r>
          </w:p>
        </w:tc>
        <w:tc>
          <w:tcPr>
            <w:tcW w:w="1474" w:type="dxa"/>
            <w:vMerge w:val="restart"/>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项目名称</w:t>
            </w:r>
          </w:p>
        </w:tc>
        <w:tc>
          <w:tcPr>
            <w:tcW w:w="3742" w:type="dxa"/>
            <w:vMerge w:val="restart"/>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项目内涵</w:t>
            </w:r>
          </w:p>
        </w:tc>
        <w:tc>
          <w:tcPr>
            <w:tcW w:w="624" w:type="dxa"/>
            <w:vMerge w:val="restart"/>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除外</w:t>
            </w:r>
          </w:p>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内容</w:t>
            </w:r>
          </w:p>
        </w:tc>
        <w:tc>
          <w:tcPr>
            <w:tcW w:w="624" w:type="dxa"/>
            <w:vMerge w:val="restart"/>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计价</w:t>
            </w:r>
          </w:p>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单位</w:t>
            </w:r>
          </w:p>
        </w:tc>
        <w:tc>
          <w:tcPr>
            <w:tcW w:w="3152" w:type="dxa"/>
            <w:gridSpan w:val="3"/>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2"/>
                <w:sz w:val="21"/>
                <w:szCs w:val="21"/>
                <w:u w:val="none"/>
                <w:lang w:val="en-US" w:eastAsia="zh-CN" w:bidi="ar-SA"/>
              </w:rPr>
              <w:t>价格（元）</w:t>
            </w:r>
          </w:p>
        </w:tc>
        <w:tc>
          <w:tcPr>
            <w:tcW w:w="2778" w:type="dxa"/>
            <w:vMerge w:val="restart"/>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blHeader/>
          <w:jc w:val="center"/>
        </w:trPr>
        <w:tc>
          <w:tcPr>
            <w:tcW w:w="397" w:type="dxa"/>
            <w:vMerge w:val="continue"/>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pPr>
          </w:p>
        </w:tc>
        <w:tc>
          <w:tcPr>
            <w:tcW w:w="1757" w:type="dxa"/>
            <w:vMerge w:val="continue"/>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pPr>
          </w:p>
        </w:tc>
        <w:tc>
          <w:tcPr>
            <w:tcW w:w="1474" w:type="dxa"/>
            <w:vMerge w:val="continue"/>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pPr>
          </w:p>
        </w:tc>
        <w:tc>
          <w:tcPr>
            <w:tcW w:w="3742" w:type="dxa"/>
            <w:vMerge w:val="continue"/>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pPr>
          </w:p>
        </w:tc>
        <w:tc>
          <w:tcPr>
            <w:tcW w:w="624" w:type="dxa"/>
            <w:vMerge w:val="continue"/>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pPr>
          </w:p>
        </w:tc>
        <w:tc>
          <w:tcPr>
            <w:tcW w:w="624" w:type="dxa"/>
            <w:vMerge w:val="continue"/>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pPr>
          </w:p>
        </w:tc>
        <w:tc>
          <w:tcPr>
            <w:tcW w:w="88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2"/>
                <w:sz w:val="21"/>
                <w:szCs w:val="21"/>
                <w:u w:val="none"/>
                <w:lang w:val="en-US" w:eastAsia="zh-CN" w:bidi="ar-SA"/>
              </w:rPr>
              <w:t>三甲</w:t>
            </w:r>
          </w:p>
        </w:tc>
        <w:tc>
          <w:tcPr>
            <w:tcW w:w="91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2"/>
                <w:sz w:val="21"/>
                <w:szCs w:val="21"/>
                <w:u w:val="none"/>
                <w:lang w:val="en-US" w:eastAsia="zh-CN" w:bidi="ar-SA"/>
              </w:rPr>
              <w:t>三乙</w:t>
            </w:r>
          </w:p>
        </w:tc>
        <w:tc>
          <w:tcPr>
            <w:tcW w:w="1350"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eastAsia" w:ascii="黑体" w:hAnsi="黑体" w:eastAsia="黑体" w:cs="黑体"/>
                <w:i w:val="0"/>
                <w:color w:val="000000"/>
                <w:kern w:val="2"/>
                <w:sz w:val="21"/>
                <w:szCs w:val="21"/>
                <w:u w:val="none"/>
                <w:lang w:val="en-US" w:eastAsia="zh-CN" w:bidi="ar-SA"/>
              </w:rPr>
            </w:pPr>
            <w:r>
              <w:rPr>
                <w:rFonts w:hint="eastAsia" w:ascii="黑体" w:hAnsi="黑体" w:eastAsia="黑体" w:cs="黑体"/>
                <w:i w:val="0"/>
                <w:color w:val="000000"/>
                <w:kern w:val="2"/>
                <w:sz w:val="21"/>
                <w:szCs w:val="21"/>
                <w:u w:val="none"/>
                <w:lang w:val="en-US" w:eastAsia="zh-CN" w:bidi="ar-SA"/>
              </w:rPr>
              <w:t>二级及以下</w:t>
            </w:r>
          </w:p>
        </w:tc>
        <w:tc>
          <w:tcPr>
            <w:tcW w:w="2778" w:type="dxa"/>
            <w:vMerge w:val="continue"/>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7" w:type="dxa"/>
            <w:noWrap w:val="0"/>
            <w:vAlign w:val="center"/>
          </w:tcPr>
          <w:p>
            <w:pPr>
              <w:keepNext w:val="0"/>
              <w:keepLines w:val="0"/>
              <w:pageBreakBefore w:val="0"/>
              <w:widowControl w:val="0"/>
              <w:numPr>
                <w:ilvl w:val="0"/>
                <w:numId w:val="1"/>
              </w:numPr>
              <w:kinsoku/>
              <w:wordWrap/>
              <w:overflowPunct w:val="0"/>
              <w:topLinePunct w:val="0"/>
              <w:autoSpaceDE/>
              <w:autoSpaceDN/>
              <w:bidi w:val="0"/>
              <w:adjustRightInd/>
              <w:snapToGrid/>
              <w:spacing w:line="250" w:lineRule="exact"/>
              <w:ind w:left="0" w:leftChars="0" w:firstLine="0" w:firstLineChars="0"/>
              <w:jc w:val="center"/>
              <w:textAlignment w:val="auto"/>
              <w:rPr>
                <w:rFonts w:hint="default" w:ascii="Times New Roman" w:hAnsi="Times New Roman" w:eastAsia="仿宋_GB2312" w:cs="Times New Roman"/>
                <w:sz w:val="21"/>
                <w:szCs w:val="21"/>
                <w:vertAlign w:val="baseline"/>
                <w:lang w:val="en-US" w:eastAsia="zh-CN"/>
              </w:rPr>
            </w:pPr>
          </w:p>
        </w:tc>
        <w:tc>
          <w:tcPr>
            <w:tcW w:w="1757"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sz w:val="21"/>
                <w:szCs w:val="21"/>
                <w:vertAlign w:val="baseline"/>
                <w:lang w:val="en-US" w:eastAsia="zh-CN"/>
              </w:rPr>
            </w:pPr>
            <w:r>
              <w:rPr>
                <w:rFonts w:hint="eastAsia" w:eastAsia="仿宋_GB2312" w:cs="Times New Roman"/>
                <w:sz w:val="21"/>
                <w:szCs w:val="21"/>
                <w:vertAlign w:val="baseline"/>
                <w:lang w:val="en-US" w:eastAsia="zh-CN"/>
              </w:rPr>
              <w:t>01</w:t>
            </w:r>
            <w:r>
              <w:rPr>
                <w:rFonts w:hint="default" w:ascii="Times New Roman" w:hAnsi="Times New Roman" w:eastAsia="仿宋_GB2312" w:cs="Times New Roman"/>
                <w:sz w:val="21"/>
                <w:szCs w:val="21"/>
                <w:vertAlign w:val="baseline"/>
                <w:lang w:val="en-US" w:eastAsia="zh-CN"/>
              </w:rPr>
              <w:t>3306090010000</w:t>
            </w:r>
          </w:p>
        </w:tc>
        <w:tc>
          <w:tcPr>
            <w:tcW w:w="147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种植体植入费（单颗）</w:t>
            </w:r>
          </w:p>
        </w:tc>
        <w:tc>
          <w:tcPr>
            <w:tcW w:w="3742"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top"/>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2"/>
                <w:sz w:val="21"/>
                <w:szCs w:val="21"/>
                <w:u w:val="none"/>
                <w:lang w:val="en-US" w:eastAsia="zh-CN" w:bidi="ar-SA"/>
              </w:rPr>
              <w:t>实现口腔单颗种植体植入。价格构成涵盖方案设计、术前准备，备洞，种植体植入，二期手术，术后处理，手术复查等步骤人力资源和基本物资消耗</w:t>
            </w:r>
          </w:p>
        </w:tc>
        <w:tc>
          <w:tcPr>
            <w:tcW w:w="624"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i w:val="0"/>
                <w:color w:val="000000"/>
                <w:kern w:val="2"/>
                <w:sz w:val="21"/>
                <w:szCs w:val="21"/>
                <w:u w:val="none"/>
                <w:lang w:val="en-US" w:eastAsia="zh-CN" w:bidi="ar-SA"/>
              </w:rPr>
            </w:pPr>
          </w:p>
        </w:tc>
        <w:tc>
          <w:tcPr>
            <w:tcW w:w="62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牙位</w:t>
            </w:r>
          </w:p>
        </w:tc>
        <w:tc>
          <w:tcPr>
            <w:tcW w:w="88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1700</w:t>
            </w:r>
          </w:p>
        </w:tc>
        <w:tc>
          <w:tcPr>
            <w:tcW w:w="91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1530</w:t>
            </w:r>
          </w:p>
        </w:tc>
        <w:tc>
          <w:tcPr>
            <w:tcW w:w="13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1360</w:t>
            </w:r>
          </w:p>
        </w:tc>
        <w:tc>
          <w:tcPr>
            <w:tcW w:w="277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2"/>
                <w:sz w:val="21"/>
                <w:szCs w:val="21"/>
                <w:u w:val="none"/>
                <w:lang w:val="en-US" w:eastAsia="zh-CN" w:bidi="ar-SA"/>
              </w:rPr>
              <w:t>1．种植体即刻种植加收30%，编码013306090010001；</w:t>
            </w:r>
          </w:p>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2"/>
                <w:sz w:val="21"/>
                <w:szCs w:val="21"/>
                <w:u w:val="none"/>
                <w:lang w:val="en-US" w:eastAsia="zh-CN" w:bidi="ar-SA"/>
              </w:rPr>
              <w:t>2．颅颌面种植体植入加收60%，编码013306090010002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97" w:type="dxa"/>
            <w:noWrap w:val="0"/>
            <w:vAlign w:val="center"/>
          </w:tcPr>
          <w:p>
            <w:pPr>
              <w:keepNext w:val="0"/>
              <w:keepLines w:val="0"/>
              <w:pageBreakBefore w:val="0"/>
              <w:widowControl w:val="0"/>
              <w:numPr>
                <w:ilvl w:val="0"/>
                <w:numId w:val="1"/>
              </w:numPr>
              <w:kinsoku/>
              <w:wordWrap/>
              <w:overflowPunct w:val="0"/>
              <w:topLinePunct w:val="0"/>
              <w:autoSpaceDE/>
              <w:autoSpaceDN/>
              <w:bidi w:val="0"/>
              <w:adjustRightInd/>
              <w:snapToGrid/>
              <w:spacing w:line="250" w:lineRule="exact"/>
              <w:ind w:left="0" w:leftChars="0" w:firstLine="0" w:firstLineChars="0"/>
              <w:jc w:val="center"/>
              <w:textAlignment w:val="auto"/>
              <w:rPr>
                <w:rFonts w:hint="default" w:ascii="Times New Roman" w:hAnsi="Times New Roman" w:eastAsia="仿宋_GB2312" w:cs="Times New Roman"/>
                <w:sz w:val="21"/>
                <w:szCs w:val="21"/>
                <w:vertAlign w:val="baseline"/>
                <w:lang w:val="en-US" w:eastAsia="zh-CN"/>
              </w:rPr>
            </w:pPr>
          </w:p>
        </w:tc>
        <w:tc>
          <w:tcPr>
            <w:tcW w:w="1757"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kern w:val="2"/>
                <w:sz w:val="21"/>
                <w:szCs w:val="21"/>
                <w:vertAlign w:val="baseline"/>
                <w:lang w:val="en-US" w:eastAsia="zh-CN" w:bidi="ar-SA"/>
              </w:rPr>
            </w:pPr>
            <w:r>
              <w:rPr>
                <w:rFonts w:hint="eastAsia" w:eastAsia="仿宋_GB2312" w:cs="Times New Roman"/>
                <w:sz w:val="21"/>
                <w:szCs w:val="21"/>
                <w:vertAlign w:val="baseline"/>
                <w:lang w:val="en-US" w:eastAsia="zh-CN"/>
              </w:rPr>
              <w:t>01</w:t>
            </w:r>
            <w:r>
              <w:rPr>
                <w:rFonts w:hint="default" w:ascii="Times New Roman" w:hAnsi="Times New Roman" w:eastAsia="仿宋_GB2312" w:cs="Times New Roman"/>
                <w:sz w:val="21"/>
                <w:szCs w:val="21"/>
                <w:vertAlign w:val="baseline"/>
                <w:lang w:val="en-US" w:eastAsia="zh-CN"/>
              </w:rPr>
              <w:t>3306090020000</w:t>
            </w:r>
          </w:p>
        </w:tc>
        <w:tc>
          <w:tcPr>
            <w:tcW w:w="147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种植体植入费（全牙弓）</w:t>
            </w:r>
          </w:p>
        </w:tc>
        <w:tc>
          <w:tcPr>
            <w:tcW w:w="3742"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top"/>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对范围超过一个象限以上的连续牙齿缺失进行种植体的植入以实现桥式修复。价格构成涵盖方案设计、术前准备，备洞，种植体植入，二期手术，术后处理，手术复查等步骤人力资源和基本物资消耗</w:t>
            </w:r>
          </w:p>
        </w:tc>
        <w:tc>
          <w:tcPr>
            <w:tcW w:w="624"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i w:val="0"/>
                <w:color w:val="000000"/>
                <w:kern w:val="2"/>
                <w:sz w:val="21"/>
                <w:szCs w:val="21"/>
                <w:u w:val="none"/>
                <w:lang w:val="en-US" w:eastAsia="zh-CN" w:bidi="ar-SA"/>
              </w:rPr>
            </w:pPr>
          </w:p>
        </w:tc>
        <w:tc>
          <w:tcPr>
            <w:tcW w:w="62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例</w:t>
            </w:r>
          </w:p>
        </w:tc>
        <w:tc>
          <w:tcPr>
            <w:tcW w:w="88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8790</w:t>
            </w:r>
          </w:p>
        </w:tc>
        <w:tc>
          <w:tcPr>
            <w:tcW w:w="91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7911</w:t>
            </w:r>
          </w:p>
        </w:tc>
        <w:tc>
          <w:tcPr>
            <w:tcW w:w="13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7032</w:t>
            </w:r>
          </w:p>
        </w:tc>
        <w:tc>
          <w:tcPr>
            <w:tcW w:w="277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2"/>
                <w:sz w:val="21"/>
                <w:szCs w:val="21"/>
                <w:u w:val="none"/>
                <w:lang w:val="en-US" w:eastAsia="zh-CN" w:bidi="ar-SA"/>
              </w:rPr>
              <w:t>上下颌分别进行桥式修复的，分别计价收费。1．种植体即刻种植加收30%，编码013306090020001；</w:t>
            </w:r>
          </w:p>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2"/>
                <w:sz w:val="21"/>
                <w:szCs w:val="21"/>
                <w:u w:val="none"/>
                <w:lang w:val="en-US" w:eastAsia="zh-CN" w:bidi="ar-SA"/>
              </w:rPr>
              <w:t>2．颅颌面种植体植入加收60%，编码013306090020002；</w:t>
            </w:r>
          </w:p>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2"/>
                <w:sz w:val="21"/>
                <w:szCs w:val="21"/>
                <w:u w:val="none"/>
                <w:lang w:val="en-US" w:eastAsia="zh-CN" w:bidi="ar-SA"/>
              </w:rPr>
              <w:t>3．种植体倾斜植入加收40%，编码013306090020003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97" w:type="dxa"/>
            <w:noWrap w:val="0"/>
            <w:vAlign w:val="center"/>
          </w:tcPr>
          <w:p>
            <w:pPr>
              <w:keepNext w:val="0"/>
              <w:keepLines w:val="0"/>
              <w:pageBreakBefore w:val="0"/>
              <w:widowControl w:val="0"/>
              <w:numPr>
                <w:ilvl w:val="0"/>
                <w:numId w:val="1"/>
              </w:numPr>
              <w:kinsoku/>
              <w:wordWrap/>
              <w:overflowPunct w:val="0"/>
              <w:topLinePunct w:val="0"/>
              <w:autoSpaceDE/>
              <w:autoSpaceDN/>
              <w:bidi w:val="0"/>
              <w:adjustRightInd/>
              <w:snapToGrid/>
              <w:spacing w:line="250" w:lineRule="exact"/>
              <w:ind w:left="0" w:leftChars="0" w:firstLine="0" w:firstLineChars="0"/>
              <w:jc w:val="center"/>
              <w:textAlignment w:val="auto"/>
              <w:rPr>
                <w:rFonts w:hint="default" w:ascii="Times New Roman" w:hAnsi="Times New Roman" w:eastAsia="仿宋_GB2312" w:cs="Times New Roman"/>
                <w:sz w:val="21"/>
                <w:szCs w:val="21"/>
                <w:vertAlign w:val="baseline"/>
                <w:lang w:val="en-US" w:eastAsia="zh-CN"/>
              </w:rPr>
            </w:pPr>
          </w:p>
        </w:tc>
        <w:tc>
          <w:tcPr>
            <w:tcW w:w="1757"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sz w:val="21"/>
                <w:szCs w:val="21"/>
                <w:highlight w:val="none"/>
                <w:vertAlign w:val="baseline"/>
                <w:lang w:val="en-US" w:eastAsia="zh-CN"/>
              </w:rPr>
            </w:pPr>
            <w:r>
              <w:rPr>
                <w:rFonts w:hint="eastAsia" w:eastAsia="仿宋_GB2312" w:cs="Times New Roman"/>
                <w:sz w:val="21"/>
                <w:szCs w:val="21"/>
                <w:highlight w:val="none"/>
                <w:vertAlign w:val="baseline"/>
                <w:lang w:val="en-US" w:eastAsia="zh-CN"/>
              </w:rPr>
              <w:t>01</w:t>
            </w:r>
            <w:r>
              <w:rPr>
                <w:rFonts w:hint="default" w:ascii="Times New Roman" w:hAnsi="Times New Roman" w:eastAsia="仿宋_GB2312" w:cs="Times New Roman"/>
                <w:sz w:val="21"/>
                <w:szCs w:val="21"/>
                <w:highlight w:val="none"/>
                <w:vertAlign w:val="baseline"/>
                <w:lang w:val="en-US" w:eastAsia="zh-CN"/>
              </w:rPr>
              <w:t>3105170010000</w:t>
            </w:r>
          </w:p>
        </w:tc>
        <w:tc>
          <w:tcPr>
            <w:tcW w:w="147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种植牙冠修复置入费（单颗）</w:t>
            </w:r>
          </w:p>
        </w:tc>
        <w:tc>
          <w:tcPr>
            <w:tcW w:w="3742"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top"/>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实现种植体上部固定义齿的修复置入。价格构成涵盖方案设计、印模制取、颌位确定、位置转移、模型制作、试排牙、戴入、调改、宣教等人力资源和基本物资消耗</w:t>
            </w:r>
          </w:p>
        </w:tc>
        <w:tc>
          <w:tcPr>
            <w:tcW w:w="624"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i w:val="0"/>
                <w:color w:val="000000"/>
                <w:kern w:val="2"/>
                <w:sz w:val="21"/>
                <w:szCs w:val="21"/>
                <w:highlight w:val="none"/>
                <w:u w:val="none"/>
                <w:lang w:val="en-US" w:eastAsia="zh-CN" w:bidi="ar-SA"/>
              </w:rPr>
            </w:pPr>
          </w:p>
        </w:tc>
        <w:tc>
          <w:tcPr>
            <w:tcW w:w="62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牙位</w:t>
            </w:r>
          </w:p>
        </w:tc>
        <w:tc>
          <w:tcPr>
            <w:tcW w:w="88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1350</w:t>
            </w:r>
          </w:p>
        </w:tc>
        <w:tc>
          <w:tcPr>
            <w:tcW w:w="91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1350</w:t>
            </w:r>
          </w:p>
        </w:tc>
        <w:tc>
          <w:tcPr>
            <w:tcW w:w="1350"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1350</w:t>
            </w:r>
          </w:p>
        </w:tc>
        <w:tc>
          <w:tcPr>
            <w:tcW w:w="277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1．即刻修复置入加收30%，编码013105170010001；</w:t>
            </w:r>
          </w:p>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2．临时冠修复置入减收30%，编码013105170010002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97" w:type="dxa"/>
            <w:noWrap w:val="0"/>
            <w:vAlign w:val="center"/>
          </w:tcPr>
          <w:p>
            <w:pPr>
              <w:keepNext w:val="0"/>
              <w:keepLines w:val="0"/>
              <w:pageBreakBefore w:val="0"/>
              <w:widowControl w:val="0"/>
              <w:numPr>
                <w:ilvl w:val="0"/>
                <w:numId w:val="1"/>
              </w:numPr>
              <w:kinsoku/>
              <w:wordWrap/>
              <w:overflowPunct w:val="0"/>
              <w:topLinePunct w:val="0"/>
              <w:autoSpaceDE/>
              <w:autoSpaceDN/>
              <w:bidi w:val="0"/>
              <w:adjustRightInd/>
              <w:snapToGrid/>
              <w:spacing w:line="250" w:lineRule="exact"/>
              <w:ind w:left="0" w:leftChars="0" w:firstLine="0" w:firstLineChars="0"/>
              <w:jc w:val="center"/>
              <w:textAlignment w:val="auto"/>
              <w:rPr>
                <w:rFonts w:hint="default" w:ascii="Times New Roman" w:hAnsi="Times New Roman" w:eastAsia="仿宋_GB2312" w:cs="Times New Roman"/>
                <w:sz w:val="21"/>
                <w:szCs w:val="21"/>
                <w:vertAlign w:val="baseline"/>
                <w:lang w:val="en-US" w:eastAsia="zh-CN"/>
              </w:rPr>
            </w:pPr>
          </w:p>
        </w:tc>
        <w:tc>
          <w:tcPr>
            <w:tcW w:w="1757"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sz w:val="21"/>
                <w:szCs w:val="21"/>
                <w:highlight w:val="none"/>
                <w:vertAlign w:val="baseline"/>
                <w:lang w:val="en-US" w:eastAsia="zh-CN"/>
              </w:rPr>
            </w:pPr>
            <w:r>
              <w:rPr>
                <w:rFonts w:hint="eastAsia" w:eastAsia="仿宋_GB2312" w:cs="Times New Roman"/>
                <w:sz w:val="21"/>
                <w:szCs w:val="21"/>
                <w:highlight w:val="none"/>
                <w:vertAlign w:val="baseline"/>
                <w:lang w:val="en-US" w:eastAsia="zh-CN"/>
              </w:rPr>
              <w:t>01</w:t>
            </w:r>
            <w:r>
              <w:rPr>
                <w:rFonts w:hint="default" w:ascii="Times New Roman" w:hAnsi="Times New Roman" w:eastAsia="仿宋_GB2312" w:cs="Times New Roman"/>
                <w:sz w:val="21"/>
                <w:szCs w:val="21"/>
                <w:highlight w:val="none"/>
                <w:vertAlign w:val="baseline"/>
                <w:lang w:val="en-US" w:eastAsia="zh-CN"/>
              </w:rPr>
              <w:t>3105170020000</w:t>
            </w:r>
          </w:p>
        </w:tc>
        <w:tc>
          <w:tcPr>
            <w:tcW w:w="147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种植牙冠修复置入费（连续冠桥修复）</w:t>
            </w:r>
          </w:p>
        </w:tc>
        <w:tc>
          <w:tcPr>
            <w:tcW w:w="3742"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top"/>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实现种植体上部不超过一个象限的连续固定义齿的修复置入。价格构成涵盖方案设计、印模制取、颌位确定、位置转移、模型制作、试排牙、戴入、调改、宣教等人力资源和基本物资消耗</w:t>
            </w:r>
          </w:p>
        </w:tc>
        <w:tc>
          <w:tcPr>
            <w:tcW w:w="624"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i w:val="0"/>
                <w:color w:val="000000"/>
                <w:kern w:val="2"/>
                <w:sz w:val="21"/>
                <w:szCs w:val="21"/>
                <w:highlight w:val="none"/>
                <w:u w:val="none"/>
                <w:lang w:val="en-US" w:eastAsia="zh-CN" w:bidi="ar-SA"/>
              </w:rPr>
            </w:pPr>
          </w:p>
        </w:tc>
        <w:tc>
          <w:tcPr>
            <w:tcW w:w="62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牙位</w:t>
            </w:r>
          </w:p>
        </w:tc>
        <w:tc>
          <w:tcPr>
            <w:tcW w:w="88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1400</w:t>
            </w:r>
          </w:p>
        </w:tc>
        <w:tc>
          <w:tcPr>
            <w:tcW w:w="91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1400</w:t>
            </w:r>
          </w:p>
        </w:tc>
        <w:tc>
          <w:tcPr>
            <w:tcW w:w="1350"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1400</w:t>
            </w:r>
          </w:p>
        </w:tc>
        <w:tc>
          <w:tcPr>
            <w:tcW w:w="277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1．即刻修复置入加收30%，编码013105170020001；</w:t>
            </w:r>
          </w:p>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2．临时冠修复置入减收30%，编码013105170020002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397" w:type="dxa"/>
            <w:noWrap w:val="0"/>
            <w:vAlign w:val="center"/>
          </w:tcPr>
          <w:p>
            <w:pPr>
              <w:keepNext w:val="0"/>
              <w:keepLines w:val="0"/>
              <w:pageBreakBefore w:val="0"/>
              <w:widowControl w:val="0"/>
              <w:numPr>
                <w:ilvl w:val="0"/>
                <w:numId w:val="1"/>
              </w:numPr>
              <w:kinsoku/>
              <w:wordWrap/>
              <w:overflowPunct w:val="0"/>
              <w:topLinePunct w:val="0"/>
              <w:autoSpaceDE/>
              <w:autoSpaceDN/>
              <w:bidi w:val="0"/>
              <w:adjustRightInd/>
              <w:snapToGrid/>
              <w:spacing w:line="250" w:lineRule="exact"/>
              <w:ind w:left="0" w:leftChars="0" w:firstLine="0" w:firstLineChars="0"/>
              <w:jc w:val="center"/>
              <w:textAlignment w:val="auto"/>
              <w:rPr>
                <w:rFonts w:hint="default" w:ascii="Times New Roman" w:hAnsi="Times New Roman" w:eastAsia="仿宋_GB2312" w:cs="Times New Roman"/>
                <w:sz w:val="21"/>
                <w:szCs w:val="21"/>
                <w:vertAlign w:val="baseline"/>
                <w:lang w:val="en-US" w:eastAsia="zh-CN"/>
              </w:rPr>
            </w:pPr>
          </w:p>
        </w:tc>
        <w:tc>
          <w:tcPr>
            <w:tcW w:w="1757"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sz w:val="21"/>
                <w:szCs w:val="21"/>
                <w:highlight w:val="none"/>
                <w:vertAlign w:val="baseline"/>
              </w:rPr>
            </w:pPr>
            <w:r>
              <w:rPr>
                <w:rFonts w:hint="eastAsia" w:eastAsia="仿宋_GB2312" w:cs="Times New Roman"/>
                <w:sz w:val="21"/>
                <w:szCs w:val="21"/>
                <w:highlight w:val="none"/>
                <w:vertAlign w:val="baseline"/>
                <w:lang w:val="en-US" w:eastAsia="zh-CN"/>
              </w:rPr>
              <w:t>01</w:t>
            </w:r>
            <w:r>
              <w:rPr>
                <w:rFonts w:hint="default" w:ascii="Times New Roman" w:hAnsi="Times New Roman" w:eastAsia="仿宋_GB2312" w:cs="Times New Roman"/>
                <w:sz w:val="21"/>
                <w:szCs w:val="21"/>
                <w:highlight w:val="none"/>
                <w:vertAlign w:val="baseline"/>
                <w:lang w:val="en-US" w:eastAsia="zh-CN"/>
              </w:rPr>
              <w:t>3105170030000</w:t>
            </w:r>
          </w:p>
        </w:tc>
        <w:tc>
          <w:tcPr>
            <w:tcW w:w="147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种植牙冠修复置入费（固定咬合重建）</w:t>
            </w:r>
          </w:p>
        </w:tc>
        <w:tc>
          <w:tcPr>
            <w:tcW w:w="3742"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top"/>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实现对咬合支持丧失、半口牙齿缺失或全口牙齿缺失的种植体上部固定义齿的修复置入。价格构成涵盖方案设计、印模制取、颌位确定、位置转移、模型制作、试排牙、戴入、调改、宣教等人力资源和基本物资消耗</w:t>
            </w:r>
          </w:p>
        </w:tc>
        <w:tc>
          <w:tcPr>
            <w:tcW w:w="624"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i w:val="0"/>
                <w:color w:val="000000"/>
                <w:kern w:val="2"/>
                <w:sz w:val="21"/>
                <w:szCs w:val="21"/>
                <w:highlight w:val="none"/>
                <w:u w:val="none"/>
                <w:lang w:val="en-US" w:eastAsia="zh-CN" w:bidi="ar-SA"/>
              </w:rPr>
            </w:pPr>
          </w:p>
        </w:tc>
        <w:tc>
          <w:tcPr>
            <w:tcW w:w="62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件</w:t>
            </w:r>
          </w:p>
        </w:tc>
        <w:tc>
          <w:tcPr>
            <w:tcW w:w="88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9775</w:t>
            </w:r>
          </w:p>
        </w:tc>
        <w:tc>
          <w:tcPr>
            <w:tcW w:w="91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9775</w:t>
            </w:r>
          </w:p>
        </w:tc>
        <w:tc>
          <w:tcPr>
            <w:tcW w:w="1350"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9775</w:t>
            </w:r>
          </w:p>
        </w:tc>
        <w:tc>
          <w:tcPr>
            <w:tcW w:w="277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即刻修复置入加收30%，编码013105170030001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397" w:type="dxa"/>
            <w:noWrap w:val="0"/>
            <w:vAlign w:val="center"/>
          </w:tcPr>
          <w:p>
            <w:pPr>
              <w:keepNext w:val="0"/>
              <w:keepLines w:val="0"/>
              <w:pageBreakBefore w:val="0"/>
              <w:widowControl w:val="0"/>
              <w:numPr>
                <w:ilvl w:val="0"/>
                <w:numId w:val="1"/>
              </w:numPr>
              <w:kinsoku/>
              <w:wordWrap/>
              <w:overflowPunct w:val="0"/>
              <w:topLinePunct w:val="0"/>
              <w:autoSpaceDE/>
              <w:autoSpaceDN/>
              <w:bidi w:val="0"/>
              <w:adjustRightInd/>
              <w:snapToGrid/>
              <w:spacing w:line="250" w:lineRule="exact"/>
              <w:ind w:left="0" w:leftChars="0" w:firstLine="0" w:firstLineChars="0"/>
              <w:jc w:val="center"/>
              <w:textAlignment w:val="auto"/>
              <w:rPr>
                <w:rFonts w:hint="default" w:ascii="Times New Roman" w:hAnsi="Times New Roman" w:eastAsia="仿宋_GB2312" w:cs="Times New Roman"/>
                <w:sz w:val="21"/>
                <w:szCs w:val="21"/>
                <w:vertAlign w:val="baseline"/>
                <w:lang w:val="en-US" w:eastAsia="zh-CN"/>
              </w:rPr>
            </w:pPr>
          </w:p>
        </w:tc>
        <w:tc>
          <w:tcPr>
            <w:tcW w:w="1757"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sz w:val="21"/>
                <w:szCs w:val="21"/>
                <w:highlight w:val="none"/>
                <w:vertAlign w:val="baseline"/>
                <w:lang w:val="en-US" w:eastAsia="zh-CN"/>
              </w:rPr>
            </w:pPr>
            <w:r>
              <w:rPr>
                <w:rFonts w:hint="eastAsia" w:eastAsia="仿宋_GB2312" w:cs="Times New Roman"/>
                <w:sz w:val="21"/>
                <w:szCs w:val="21"/>
                <w:highlight w:val="none"/>
                <w:vertAlign w:val="baseline"/>
                <w:lang w:val="en-US" w:eastAsia="zh-CN"/>
              </w:rPr>
              <w:t>01</w:t>
            </w:r>
            <w:r>
              <w:rPr>
                <w:rFonts w:hint="default" w:ascii="Times New Roman" w:hAnsi="Times New Roman" w:eastAsia="仿宋_GB2312" w:cs="Times New Roman"/>
                <w:sz w:val="21"/>
                <w:szCs w:val="21"/>
                <w:highlight w:val="none"/>
                <w:vertAlign w:val="baseline"/>
                <w:lang w:val="en-US" w:eastAsia="zh-CN"/>
              </w:rPr>
              <w:t>3105230010000</w:t>
            </w:r>
          </w:p>
        </w:tc>
        <w:tc>
          <w:tcPr>
            <w:tcW w:w="147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种植可摘修复置入费</w:t>
            </w:r>
          </w:p>
        </w:tc>
        <w:tc>
          <w:tcPr>
            <w:tcW w:w="3742"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top"/>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实现种植体上部可摘修复体的置入。价格构成涵盖方案设计、印模制取、颌位确定、位置转移、试排牙、模型制作、戴入、调改、宣教等人力资源和基本物资消耗</w:t>
            </w:r>
          </w:p>
        </w:tc>
        <w:tc>
          <w:tcPr>
            <w:tcW w:w="624"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i w:val="0"/>
                <w:color w:val="000000"/>
                <w:kern w:val="2"/>
                <w:sz w:val="21"/>
                <w:szCs w:val="21"/>
                <w:highlight w:val="none"/>
                <w:u w:val="none"/>
                <w:lang w:val="en-US" w:eastAsia="zh-CN" w:bidi="ar-SA"/>
              </w:rPr>
            </w:pPr>
          </w:p>
        </w:tc>
        <w:tc>
          <w:tcPr>
            <w:tcW w:w="62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件</w:t>
            </w:r>
          </w:p>
        </w:tc>
        <w:tc>
          <w:tcPr>
            <w:tcW w:w="88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8000</w:t>
            </w:r>
          </w:p>
        </w:tc>
        <w:tc>
          <w:tcPr>
            <w:tcW w:w="91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8000</w:t>
            </w:r>
          </w:p>
        </w:tc>
        <w:tc>
          <w:tcPr>
            <w:tcW w:w="1350"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highlight w:val="none"/>
                <w:u w:val="none"/>
                <w:lang w:val="en-US" w:eastAsia="zh-CN" w:bidi="ar-SA"/>
              </w:rPr>
            </w:pPr>
            <w:r>
              <w:rPr>
                <w:rFonts w:hint="default" w:ascii="Times New Roman" w:hAnsi="Times New Roman" w:eastAsia="仿宋_GB2312" w:cs="Times New Roman"/>
                <w:i w:val="0"/>
                <w:color w:val="000000"/>
                <w:kern w:val="0"/>
                <w:sz w:val="21"/>
                <w:szCs w:val="21"/>
                <w:highlight w:val="none"/>
                <w:u w:val="none"/>
                <w:lang w:val="en-US" w:eastAsia="zh-CN" w:bidi="ar"/>
              </w:rPr>
              <w:t>8000</w:t>
            </w:r>
          </w:p>
        </w:tc>
        <w:tc>
          <w:tcPr>
            <w:tcW w:w="277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即刻修复置入加收30%，编码013105230010001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397" w:type="dxa"/>
            <w:noWrap w:val="0"/>
            <w:vAlign w:val="center"/>
          </w:tcPr>
          <w:p>
            <w:pPr>
              <w:keepNext w:val="0"/>
              <w:keepLines w:val="0"/>
              <w:pageBreakBefore w:val="0"/>
              <w:widowControl w:val="0"/>
              <w:numPr>
                <w:ilvl w:val="0"/>
                <w:numId w:val="1"/>
              </w:numPr>
              <w:kinsoku/>
              <w:wordWrap/>
              <w:overflowPunct w:val="0"/>
              <w:topLinePunct w:val="0"/>
              <w:autoSpaceDE/>
              <w:autoSpaceDN/>
              <w:bidi w:val="0"/>
              <w:adjustRightInd/>
              <w:snapToGrid/>
              <w:spacing w:line="250" w:lineRule="exact"/>
              <w:ind w:left="0" w:leftChars="0" w:firstLine="0" w:firstLineChars="0"/>
              <w:jc w:val="center"/>
              <w:textAlignment w:val="auto"/>
              <w:rPr>
                <w:rFonts w:hint="default" w:ascii="Times New Roman" w:hAnsi="Times New Roman" w:eastAsia="仿宋_GB2312" w:cs="Times New Roman"/>
                <w:sz w:val="21"/>
                <w:szCs w:val="21"/>
                <w:vertAlign w:val="baseline"/>
                <w:lang w:val="en-US" w:eastAsia="zh-CN"/>
              </w:rPr>
            </w:pPr>
          </w:p>
        </w:tc>
        <w:tc>
          <w:tcPr>
            <w:tcW w:w="1757"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sz w:val="21"/>
                <w:szCs w:val="21"/>
                <w:vertAlign w:val="baseline"/>
                <w:lang w:val="en-US" w:eastAsia="zh-CN"/>
              </w:rPr>
            </w:pPr>
            <w:r>
              <w:rPr>
                <w:rFonts w:hint="eastAsia" w:eastAsia="仿宋_GB2312" w:cs="Times New Roman"/>
                <w:sz w:val="21"/>
                <w:szCs w:val="21"/>
                <w:vertAlign w:val="baseline"/>
                <w:lang w:val="en-US" w:eastAsia="zh-CN"/>
              </w:rPr>
              <w:t>01</w:t>
            </w:r>
            <w:r>
              <w:rPr>
                <w:rFonts w:hint="default" w:ascii="Times New Roman" w:hAnsi="Times New Roman" w:eastAsia="仿宋_GB2312" w:cs="Times New Roman"/>
                <w:sz w:val="21"/>
                <w:szCs w:val="21"/>
                <w:vertAlign w:val="baseline"/>
                <w:lang w:val="en-US" w:eastAsia="zh-CN"/>
              </w:rPr>
              <w:t>3306090030000</w:t>
            </w:r>
          </w:p>
        </w:tc>
        <w:tc>
          <w:tcPr>
            <w:tcW w:w="147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口腔内植骨费（简单）</w:t>
            </w:r>
          </w:p>
        </w:tc>
        <w:tc>
          <w:tcPr>
            <w:tcW w:w="3742"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top"/>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通过手术方式，对轻度牙槽嵴萎缩骨量增加，达到可种植条件。价格构成涵盖方案设计、术前准备、手术入路，组织切开，植骨，关闭缝合受植区等手术步骤及术后复查处置等人力资源和基本物资消耗</w:t>
            </w:r>
          </w:p>
        </w:tc>
        <w:tc>
          <w:tcPr>
            <w:tcW w:w="624"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i w:val="0"/>
                <w:color w:val="000000"/>
                <w:kern w:val="2"/>
                <w:sz w:val="21"/>
                <w:szCs w:val="21"/>
                <w:u w:val="none"/>
                <w:lang w:val="en-US" w:eastAsia="zh-CN" w:bidi="ar-SA"/>
              </w:rPr>
            </w:pPr>
          </w:p>
        </w:tc>
        <w:tc>
          <w:tcPr>
            <w:tcW w:w="62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牙位</w:t>
            </w:r>
          </w:p>
        </w:tc>
        <w:tc>
          <w:tcPr>
            <w:tcW w:w="88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600</w:t>
            </w:r>
          </w:p>
        </w:tc>
        <w:tc>
          <w:tcPr>
            <w:tcW w:w="91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540</w:t>
            </w:r>
          </w:p>
        </w:tc>
        <w:tc>
          <w:tcPr>
            <w:tcW w:w="13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480</w:t>
            </w:r>
          </w:p>
        </w:tc>
        <w:tc>
          <w:tcPr>
            <w:tcW w:w="2778"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both"/>
              <w:rPr>
                <w:rFonts w:hint="default" w:ascii="Times New Roman" w:hAnsi="Times New Roman" w:eastAsia="仿宋_GB2312" w:cs="Times New Roman"/>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397" w:type="dxa"/>
            <w:noWrap w:val="0"/>
            <w:vAlign w:val="center"/>
          </w:tcPr>
          <w:p>
            <w:pPr>
              <w:keepNext w:val="0"/>
              <w:keepLines w:val="0"/>
              <w:pageBreakBefore w:val="0"/>
              <w:widowControl w:val="0"/>
              <w:numPr>
                <w:ilvl w:val="0"/>
                <w:numId w:val="1"/>
              </w:numPr>
              <w:kinsoku/>
              <w:wordWrap/>
              <w:overflowPunct w:val="0"/>
              <w:topLinePunct w:val="0"/>
              <w:autoSpaceDE/>
              <w:autoSpaceDN/>
              <w:bidi w:val="0"/>
              <w:adjustRightInd/>
              <w:snapToGrid/>
              <w:spacing w:line="250" w:lineRule="exact"/>
              <w:ind w:left="0" w:leftChars="0" w:firstLine="0" w:firstLineChars="0"/>
              <w:jc w:val="center"/>
              <w:textAlignment w:val="auto"/>
              <w:rPr>
                <w:rFonts w:hint="default" w:ascii="Times New Roman" w:hAnsi="Times New Roman" w:eastAsia="仿宋_GB2312" w:cs="Times New Roman"/>
                <w:sz w:val="21"/>
                <w:szCs w:val="21"/>
                <w:vertAlign w:val="baseline"/>
                <w:lang w:val="en-US" w:eastAsia="zh-CN"/>
              </w:rPr>
            </w:pPr>
          </w:p>
        </w:tc>
        <w:tc>
          <w:tcPr>
            <w:tcW w:w="1757"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sz w:val="21"/>
                <w:szCs w:val="21"/>
                <w:vertAlign w:val="baseline"/>
              </w:rPr>
            </w:pPr>
            <w:r>
              <w:rPr>
                <w:rFonts w:hint="eastAsia" w:eastAsia="仿宋_GB2312" w:cs="Times New Roman"/>
                <w:sz w:val="21"/>
                <w:szCs w:val="21"/>
                <w:vertAlign w:val="baseline"/>
                <w:lang w:val="en-US" w:eastAsia="zh-CN"/>
              </w:rPr>
              <w:t>01</w:t>
            </w:r>
            <w:r>
              <w:rPr>
                <w:rFonts w:hint="default" w:ascii="Times New Roman" w:hAnsi="Times New Roman" w:eastAsia="仿宋_GB2312" w:cs="Times New Roman"/>
                <w:sz w:val="21"/>
                <w:szCs w:val="21"/>
                <w:vertAlign w:val="baseline"/>
                <w:lang w:val="en-US" w:eastAsia="zh-CN"/>
              </w:rPr>
              <w:t>3306090040000</w:t>
            </w:r>
          </w:p>
        </w:tc>
        <w:tc>
          <w:tcPr>
            <w:tcW w:w="147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口腔内植骨费（一般）</w:t>
            </w:r>
          </w:p>
        </w:tc>
        <w:tc>
          <w:tcPr>
            <w:tcW w:w="3742"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top"/>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通过手术方式，对中度牙槽嵴萎缩骨量增加，达到可种植条件。价格构成涵盖方案设计、术前准备、手术入路，组织切开，骨劈开/骨挤压，植骨，关闭缝合受植区等手术步骤及术后复查处置等人力资源和基本物资消耗</w:t>
            </w:r>
          </w:p>
        </w:tc>
        <w:tc>
          <w:tcPr>
            <w:tcW w:w="624"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i w:val="0"/>
                <w:color w:val="FF0000"/>
                <w:kern w:val="2"/>
                <w:sz w:val="21"/>
                <w:szCs w:val="21"/>
                <w:u w:val="none"/>
                <w:lang w:val="en-US" w:eastAsia="zh-CN" w:bidi="ar-SA"/>
              </w:rPr>
            </w:pPr>
          </w:p>
        </w:tc>
        <w:tc>
          <w:tcPr>
            <w:tcW w:w="62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牙位</w:t>
            </w:r>
          </w:p>
        </w:tc>
        <w:tc>
          <w:tcPr>
            <w:tcW w:w="88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1600</w:t>
            </w:r>
          </w:p>
        </w:tc>
        <w:tc>
          <w:tcPr>
            <w:tcW w:w="91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1440</w:t>
            </w:r>
          </w:p>
        </w:tc>
        <w:tc>
          <w:tcPr>
            <w:tcW w:w="13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1280</w:t>
            </w:r>
          </w:p>
        </w:tc>
        <w:tc>
          <w:tcPr>
            <w:tcW w:w="2778"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both"/>
              <w:rPr>
                <w:rFonts w:hint="default" w:ascii="Times New Roman" w:hAnsi="Times New Roman" w:eastAsia="仿宋_GB2312" w:cs="Times New Roman"/>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397" w:type="dxa"/>
            <w:noWrap w:val="0"/>
            <w:vAlign w:val="center"/>
          </w:tcPr>
          <w:p>
            <w:pPr>
              <w:keepNext w:val="0"/>
              <w:keepLines w:val="0"/>
              <w:pageBreakBefore w:val="0"/>
              <w:widowControl w:val="0"/>
              <w:numPr>
                <w:ilvl w:val="0"/>
                <w:numId w:val="1"/>
              </w:numPr>
              <w:kinsoku/>
              <w:wordWrap/>
              <w:overflowPunct w:val="0"/>
              <w:topLinePunct w:val="0"/>
              <w:autoSpaceDE/>
              <w:autoSpaceDN/>
              <w:bidi w:val="0"/>
              <w:adjustRightInd/>
              <w:snapToGrid/>
              <w:spacing w:line="250" w:lineRule="exact"/>
              <w:ind w:left="0" w:leftChars="0" w:firstLine="0" w:firstLineChars="0"/>
              <w:jc w:val="center"/>
              <w:textAlignment w:val="auto"/>
              <w:rPr>
                <w:rFonts w:hint="default" w:ascii="Times New Roman" w:hAnsi="Times New Roman" w:eastAsia="仿宋_GB2312" w:cs="Times New Roman"/>
                <w:sz w:val="21"/>
                <w:szCs w:val="21"/>
                <w:vertAlign w:val="baseline"/>
                <w:lang w:val="en-US" w:eastAsia="zh-CN"/>
              </w:rPr>
            </w:pPr>
          </w:p>
        </w:tc>
        <w:tc>
          <w:tcPr>
            <w:tcW w:w="1757"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sz w:val="21"/>
                <w:szCs w:val="21"/>
                <w:vertAlign w:val="baseline"/>
              </w:rPr>
            </w:pPr>
            <w:r>
              <w:rPr>
                <w:rFonts w:hint="eastAsia" w:eastAsia="仿宋_GB2312" w:cs="Times New Roman"/>
                <w:sz w:val="21"/>
                <w:szCs w:val="21"/>
                <w:vertAlign w:val="baseline"/>
                <w:lang w:val="en-US" w:eastAsia="zh-CN"/>
              </w:rPr>
              <w:t>01</w:t>
            </w:r>
            <w:r>
              <w:rPr>
                <w:rFonts w:hint="default" w:ascii="Times New Roman" w:hAnsi="Times New Roman" w:eastAsia="仿宋_GB2312" w:cs="Times New Roman"/>
                <w:sz w:val="21"/>
                <w:szCs w:val="21"/>
                <w:vertAlign w:val="baseline"/>
                <w:lang w:val="en-US" w:eastAsia="zh-CN"/>
              </w:rPr>
              <w:t>3306090050000</w:t>
            </w:r>
          </w:p>
        </w:tc>
        <w:tc>
          <w:tcPr>
            <w:tcW w:w="147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口腔内植骨费（复杂）</w:t>
            </w:r>
          </w:p>
        </w:tc>
        <w:tc>
          <w:tcPr>
            <w:tcW w:w="3742"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top"/>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通过手术方式，对重度牙槽嵴萎缩或上颌窦底骨量增加，达到可种植条件。价格构成涵盖方案设计、术前准备、手术入路，组织切开，自体骨移植、植骨，关闭缝合受植区等手术步骤及术后复查处置等人力资源和基本物资消耗</w:t>
            </w:r>
          </w:p>
        </w:tc>
        <w:tc>
          <w:tcPr>
            <w:tcW w:w="624"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i w:val="0"/>
                <w:color w:val="000000"/>
                <w:kern w:val="2"/>
                <w:sz w:val="21"/>
                <w:szCs w:val="21"/>
                <w:u w:val="none"/>
                <w:lang w:val="en-US" w:eastAsia="zh-CN" w:bidi="ar-SA"/>
              </w:rPr>
            </w:pPr>
          </w:p>
        </w:tc>
        <w:tc>
          <w:tcPr>
            <w:tcW w:w="62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牙位</w:t>
            </w:r>
          </w:p>
        </w:tc>
        <w:tc>
          <w:tcPr>
            <w:tcW w:w="88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2500</w:t>
            </w:r>
          </w:p>
        </w:tc>
        <w:tc>
          <w:tcPr>
            <w:tcW w:w="91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2250</w:t>
            </w:r>
          </w:p>
        </w:tc>
        <w:tc>
          <w:tcPr>
            <w:tcW w:w="13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277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1．上颌窦囊肿摘除加收20%，编码013306090050001；</w:t>
            </w:r>
          </w:p>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2．口腔以外其他部位取骨按具体部位取骨术计价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397" w:type="dxa"/>
            <w:noWrap w:val="0"/>
            <w:vAlign w:val="center"/>
          </w:tcPr>
          <w:p>
            <w:pPr>
              <w:keepNext w:val="0"/>
              <w:keepLines w:val="0"/>
              <w:pageBreakBefore w:val="0"/>
              <w:widowControl w:val="0"/>
              <w:numPr>
                <w:ilvl w:val="0"/>
                <w:numId w:val="1"/>
              </w:numPr>
              <w:kinsoku/>
              <w:wordWrap/>
              <w:overflowPunct w:val="0"/>
              <w:topLinePunct w:val="0"/>
              <w:autoSpaceDE/>
              <w:autoSpaceDN/>
              <w:bidi w:val="0"/>
              <w:adjustRightInd/>
              <w:snapToGrid/>
              <w:spacing w:line="250" w:lineRule="exact"/>
              <w:ind w:left="0" w:leftChars="0" w:firstLine="0" w:firstLineChars="0"/>
              <w:jc w:val="center"/>
              <w:textAlignment w:val="auto"/>
              <w:rPr>
                <w:rFonts w:hint="default" w:ascii="Times New Roman" w:hAnsi="Times New Roman" w:eastAsia="仿宋_GB2312" w:cs="Times New Roman"/>
                <w:sz w:val="21"/>
                <w:szCs w:val="21"/>
                <w:vertAlign w:val="baseline"/>
                <w:lang w:val="en-US" w:eastAsia="zh-CN"/>
              </w:rPr>
            </w:pPr>
          </w:p>
        </w:tc>
        <w:tc>
          <w:tcPr>
            <w:tcW w:w="1757"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kern w:val="2"/>
                <w:sz w:val="21"/>
                <w:szCs w:val="21"/>
                <w:vertAlign w:val="baseline"/>
                <w:lang w:val="en-US" w:eastAsia="zh-CN" w:bidi="ar-SA"/>
              </w:rPr>
            </w:pPr>
            <w:r>
              <w:rPr>
                <w:rFonts w:hint="eastAsia" w:eastAsia="仿宋_GB2312" w:cs="Times New Roman"/>
                <w:sz w:val="21"/>
                <w:szCs w:val="21"/>
                <w:vertAlign w:val="baseline"/>
                <w:lang w:val="en-US" w:eastAsia="zh-CN"/>
              </w:rPr>
              <w:t>01</w:t>
            </w:r>
            <w:r>
              <w:rPr>
                <w:rFonts w:hint="default" w:ascii="Times New Roman" w:hAnsi="Times New Roman" w:eastAsia="仿宋_GB2312" w:cs="Times New Roman"/>
                <w:sz w:val="21"/>
                <w:szCs w:val="21"/>
                <w:vertAlign w:val="baseline"/>
                <w:lang w:val="en-US" w:eastAsia="zh-CN"/>
              </w:rPr>
              <w:t>3306090060000</w:t>
            </w:r>
          </w:p>
        </w:tc>
        <w:tc>
          <w:tcPr>
            <w:tcW w:w="147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种植体周软组织移植费</w:t>
            </w:r>
          </w:p>
        </w:tc>
        <w:tc>
          <w:tcPr>
            <w:tcW w:w="3742"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top"/>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通过局部软组织移植，改善治疗部位及周围软组织状况，达到治疗所需软组织条件。价格构成涵盖方案设计、术前准备、切开、翻瓣、供软组织制备、组织固定、缝合及处置等手术步骤人力资源和基本物资消耗</w:t>
            </w:r>
          </w:p>
        </w:tc>
        <w:tc>
          <w:tcPr>
            <w:tcW w:w="62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生物膜</w:t>
            </w:r>
          </w:p>
        </w:tc>
        <w:tc>
          <w:tcPr>
            <w:tcW w:w="62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牙位</w:t>
            </w:r>
          </w:p>
        </w:tc>
        <w:tc>
          <w:tcPr>
            <w:tcW w:w="88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1000</w:t>
            </w:r>
          </w:p>
        </w:tc>
        <w:tc>
          <w:tcPr>
            <w:tcW w:w="91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900</w:t>
            </w:r>
          </w:p>
        </w:tc>
        <w:tc>
          <w:tcPr>
            <w:tcW w:w="13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800</w:t>
            </w:r>
          </w:p>
        </w:tc>
        <w:tc>
          <w:tcPr>
            <w:tcW w:w="2778"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both"/>
              <w:rPr>
                <w:rFonts w:hint="default" w:ascii="Times New Roman" w:hAnsi="Times New Roman" w:eastAsia="仿宋_GB2312" w:cs="Times New Roman"/>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397" w:type="dxa"/>
            <w:noWrap w:val="0"/>
            <w:vAlign w:val="center"/>
          </w:tcPr>
          <w:p>
            <w:pPr>
              <w:keepNext w:val="0"/>
              <w:keepLines w:val="0"/>
              <w:pageBreakBefore w:val="0"/>
              <w:widowControl w:val="0"/>
              <w:numPr>
                <w:ilvl w:val="0"/>
                <w:numId w:val="1"/>
              </w:numPr>
              <w:kinsoku/>
              <w:wordWrap/>
              <w:overflowPunct w:val="0"/>
              <w:topLinePunct w:val="0"/>
              <w:autoSpaceDE/>
              <w:autoSpaceDN/>
              <w:bidi w:val="0"/>
              <w:adjustRightInd/>
              <w:snapToGrid/>
              <w:spacing w:line="250" w:lineRule="exact"/>
              <w:ind w:left="0" w:leftChars="0" w:firstLine="0" w:firstLineChars="0"/>
              <w:jc w:val="center"/>
              <w:textAlignment w:val="auto"/>
              <w:rPr>
                <w:rFonts w:hint="default" w:ascii="Times New Roman" w:hAnsi="Times New Roman" w:eastAsia="仿宋_GB2312" w:cs="Times New Roman"/>
                <w:sz w:val="21"/>
                <w:szCs w:val="21"/>
                <w:vertAlign w:val="baseline"/>
                <w:lang w:val="en-US" w:eastAsia="zh-CN"/>
              </w:rPr>
            </w:pPr>
          </w:p>
        </w:tc>
        <w:tc>
          <w:tcPr>
            <w:tcW w:w="1757"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sz w:val="21"/>
                <w:szCs w:val="21"/>
                <w:vertAlign w:val="baseline"/>
              </w:rPr>
            </w:pPr>
            <w:r>
              <w:rPr>
                <w:rFonts w:hint="eastAsia" w:eastAsia="仿宋_GB2312" w:cs="Times New Roman"/>
                <w:sz w:val="21"/>
                <w:szCs w:val="21"/>
                <w:vertAlign w:val="baseline"/>
                <w:lang w:val="en-US" w:eastAsia="zh-CN"/>
              </w:rPr>
              <w:t>01</w:t>
            </w:r>
            <w:r>
              <w:rPr>
                <w:rFonts w:hint="default" w:ascii="Times New Roman" w:hAnsi="Times New Roman" w:eastAsia="仿宋_GB2312" w:cs="Times New Roman"/>
                <w:sz w:val="21"/>
                <w:szCs w:val="21"/>
                <w:vertAlign w:val="baseline"/>
                <w:lang w:val="en-US" w:eastAsia="zh-CN"/>
              </w:rPr>
              <w:t>3306090070000</w:t>
            </w:r>
          </w:p>
        </w:tc>
        <w:tc>
          <w:tcPr>
            <w:tcW w:w="147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种植体取出费</w:t>
            </w:r>
          </w:p>
        </w:tc>
        <w:tc>
          <w:tcPr>
            <w:tcW w:w="3742"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top"/>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拆除患者口腔内已植入且无法继续使用的种植体。价格构成涵盖种植体拆除操作步骤的人力资源和基本物资消耗</w:t>
            </w:r>
          </w:p>
        </w:tc>
        <w:tc>
          <w:tcPr>
            <w:tcW w:w="624"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i w:val="0"/>
                <w:color w:val="000000"/>
                <w:kern w:val="2"/>
                <w:sz w:val="21"/>
                <w:szCs w:val="21"/>
                <w:u w:val="none"/>
                <w:lang w:val="en-US" w:eastAsia="zh-CN" w:bidi="ar-SA"/>
              </w:rPr>
            </w:pPr>
          </w:p>
        </w:tc>
        <w:tc>
          <w:tcPr>
            <w:tcW w:w="62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牙位</w:t>
            </w:r>
          </w:p>
        </w:tc>
        <w:tc>
          <w:tcPr>
            <w:tcW w:w="888"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sz w:val="21"/>
                <w:szCs w:val="21"/>
                <w:lang w:val="en-US" w:eastAsia="zh-CN"/>
              </w:rPr>
            </w:pPr>
            <w:r>
              <w:rPr>
                <w:rFonts w:hint="default" w:ascii="Times New Roman" w:hAnsi="Times New Roman" w:eastAsia="仿宋_GB2312" w:cs="Times New Roman"/>
                <w:i w:val="0"/>
                <w:color w:val="000000"/>
                <w:sz w:val="21"/>
                <w:szCs w:val="21"/>
                <w:u w:val="none"/>
                <w:lang w:val="en-US" w:eastAsia="zh-CN"/>
              </w:rPr>
              <w:t>1170</w:t>
            </w:r>
          </w:p>
        </w:tc>
        <w:tc>
          <w:tcPr>
            <w:tcW w:w="91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1053</w:t>
            </w:r>
          </w:p>
        </w:tc>
        <w:tc>
          <w:tcPr>
            <w:tcW w:w="13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936</w:t>
            </w:r>
          </w:p>
        </w:tc>
        <w:tc>
          <w:tcPr>
            <w:tcW w:w="2778"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both"/>
              <w:rPr>
                <w:rFonts w:hint="default" w:ascii="Times New Roman" w:hAnsi="Times New Roman" w:eastAsia="仿宋_GB2312" w:cs="Times New Roman"/>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397" w:type="dxa"/>
            <w:noWrap w:val="0"/>
            <w:vAlign w:val="center"/>
          </w:tcPr>
          <w:p>
            <w:pPr>
              <w:keepNext w:val="0"/>
              <w:keepLines w:val="0"/>
              <w:pageBreakBefore w:val="0"/>
              <w:widowControl w:val="0"/>
              <w:numPr>
                <w:ilvl w:val="0"/>
                <w:numId w:val="1"/>
              </w:numPr>
              <w:kinsoku/>
              <w:wordWrap/>
              <w:overflowPunct w:val="0"/>
              <w:topLinePunct w:val="0"/>
              <w:autoSpaceDE/>
              <w:autoSpaceDN/>
              <w:bidi w:val="0"/>
              <w:adjustRightInd/>
              <w:snapToGrid/>
              <w:spacing w:line="250" w:lineRule="exact"/>
              <w:ind w:left="0" w:leftChars="0" w:firstLine="0" w:firstLineChars="0"/>
              <w:jc w:val="center"/>
              <w:textAlignment w:val="auto"/>
              <w:rPr>
                <w:rFonts w:hint="default" w:ascii="Times New Roman" w:hAnsi="Times New Roman" w:eastAsia="仿宋_GB2312" w:cs="Times New Roman"/>
                <w:sz w:val="21"/>
                <w:szCs w:val="21"/>
                <w:vertAlign w:val="baseline"/>
                <w:lang w:val="en-US" w:eastAsia="zh-CN"/>
              </w:rPr>
            </w:pPr>
          </w:p>
        </w:tc>
        <w:tc>
          <w:tcPr>
            <w:tcW w:w="1757"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sz w:val="21"/>
                <w:szCs w:val="21"/>
                <w:vertAlign w:val="baseline"/>
                <w:lang w:val="en-US" w:eastAsia="zh-CN"/>
              </w:rPr>
            </w:pPr>
            <w:r>
              <w:rPr>
                <w:rFonts w:hint="eastAsia" w:eastAsia="仿宋_GB2312" w:cs="Times New Roman"/>
                <w:sz w:val="21"/>
                <w:szCs w:val="21"/>
                <w:vertAlign w:val="baseline"/>
                <w:lang w:val="en-US" w:eastAsia="zh-CN"/>
              </w:rPr>
              <w:t>01</w:t>
            </w:r>
            <w:r>
              <w:rPr>
                <w:rFonts w:hint="default" w:ascii="Times New Roman" w:hAnsi="Times New Roman" w:eastAsia="仿宋_GB2312" w:cs="Times New Roman"/>
                <w:sz w:val="21"/>
                <w:szCs w:val="21"/>
                <w:vertAlign w:val="baseline"/>
                <w:lang w:val="en-US" w:eastAsia="zh-CN"/>
              </w:rPr>
              <w:t>3105190010000</w:t>
            </w:r>
          </w:p>
        </w:tc>
        <w:tc>
          <w:tcPr>
            <w:tcW w:w="147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种植牙冠修理费</w:t>
            </w:r>
          </w:p>
        </w:tc>
        <w:tc>
          <w:tcPr>
            <w:tcW w:w="3742"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top"/>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对产品保质保修条件外，种植牙冠脱落、崩瓷、嵌食、断裂等机械性或器质性损坏进行修理，恢复正常使用。价格构成涵盖种植修复置入体的检查、拆卸、修补、置入等人力资源和基本物资消耗</w:t>
            </w:r>
          </w:p>
        </w:tc>
        <w:tc>
          <w:tcPr>
            <w:tcW w:w="624"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i w:val="0"/>
                <w:color w:val="000000"/>
                <w:kern w:val="2"/>
                <w:sz w:val="21"/>
                <w:szCs w:val="21"/>
                <w:u w:val="none"/>
                <w:lang w:val="en-US" w:eastAsia="zh-CN" w:bidi="ar-SA"/>
              </w:rPr>
            </w:pPr>
          </w:p>
        </w:tc>
        <w:tc>
          <w:tcPr>
            <w:tcW w:w="62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牙位</w:t>
            </w:r>
          </w:p>
        </w:tc>
        <w:tc>
          <w:tcPr>
            <w:tcW w:w="88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800</w:t>
            </w:r>
          </w:p>
        </w:tc>
        <w:tc>
          <w:tcPr>
            <w:tcW w:w="91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800</w:t>
            </w:r>
          </w:p>
        </w:tc>
        <w:tc>
          <w:tcPr>
            <w:tcW w:w="1350"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800</w:t>
            </w:r>
          </w:p>
        </w:tc>
        <w:tc>
          <w:tcPr>
            <w:tcW w:w="2778"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both"/>
              <w:rPr>
                <w:rFonts w:hint="default" w:ascii="Times New Roman" w:hAnsi="Times New Roman" w:eastAsia="仿宋_GB2312" w:cs="Times New Roman"/>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397" w:type="dxa"/>
            <w:noWrap w:val="0"/>
            <w:vAlign w:val="center"/>
          </w:tcPr>
          <w:p>
            <w:pPr>
              <w:keepNext w:val="0"/>
              <w:keepLines w:val="0"/>
              <w:pageBreakBefore w:val="0"/>
              <w:widowControl w:val="0"/>
              <w:numPr>
                <w:ilvl w:val="0"/>
                <w:numId w:val="1"/>
              </w:numPr>
              <w:kinsoku/>
              <w:wordWrap/>
              <w:overflowPunct w:val="0"/>
              <w:topLinePunct w:val="0"/>
              <w:autoSpaceDE/>
              <w:autoSpaceDN/>
              <w:bidi w:val="0"/>
              <w:adjustRightInd/>
              <w:snapToGrid/>
              <w:spacing w:line="250" w:lineRule="exact"/>
              <w:ind w:left="0" w:leftChars="0" w:firstLine="0" w:firstLineChars="0"/>
              <w:jc w:val="center"/>
              <w:textAlignment w:val="auto"/>
              <w:rPr>
                <w:rFonts w:hint="default" w:ascii="Times New Roman" w:hAnsi="Times New Roman" w:eastAsia="仿宋_GB2312" w:cs="Times New Roman"/>
                <w:sz w:val="21"/>
                <w:szCs w:val="21"/>
                <w:vertAlign w:val="baseline"/>
                <w:lang w:val="en-US" w:eastAsia="zh-CN"/>
              </w:rPr>
            </w:pPr>
          </w:p>
        </w:tc>
        <w:tc>
          <w:tcPr>
            <w:tcW w:w="1757"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sz w:val="21"/>
                <w:szCs w:val="21"/>
                <w:vertAlign w:val="baseline"/>
                <w:lang w:val="en-US" w:eastAsia="zh-CN"/>
              </w:rPr>
            </w:pPr>
            <w:r>
              <w:rPr>
                <w:rFonts w:hint="eastAsia" w:eastAsia="仿宋_GB2312" w:cs="Times New Roman"/>
                <w:sz w:val="21"/>
                <w:szCs w:val="21"/>
                <w:vertAlign w:val="baseline"/>
                <w:lang w:val="en-US" w:eastAsia="zh-CN"/>
              </w:rPr>
              <w:t>01</w:t>
            </w:r>
            <w:r>
              <w:rPr>
                <w:rFonts w:hint="default" w:ascii="Times New Roman" w:hAnsi="Times New Roman" w:eastAsia="仿宋_GB2312" w:cs="Times New Roman"/>
                <w:sz w:val="21"/>
                <w:szCs w:val="21"/>
                <w:vertAlign w:val="baseline"/>
                <w:lang w:val="en-US" w:eastAsia="zh-CN"/>
              </w:rPr>
              <w:t>3105170040000</w:t>
            </w:r>
          </w:p>
        </w:tc>
        <w:tc>
          <w:tcPr>
            <w:tcW w:w="147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医学</w:t>
            </w:r>
            <w:r>
              <w:rPr>
                <w:rStyle w:val="11"/>
                <w:rFonts w:hint="default" w:ascii="Times New Roman" w:hAnsi="Times New Roman" w:eastAsia="仿宋_GB2312" w:cs="Times New Roman"/>
                <w:sz w:val="21"/>
                <w:szCs w:val="21"/>
                <w:lang w:val="en-US" w:eastAsia="zh-CN" w:bidi="ar"/>
              </w:rPr>
              <w:t>3D</w:t>
            </w:r>
            <w:r>
              <w:rPr>
                <w:rStyle w:val="12"/>
                <w:rFonts w:hint="default" w:ascii="Times New Roman" w:hAnsi="Times New Roman" w:eastAsia="仿宋_GB2312" w:cs="Times New Roman"/>
                <w:sz w:val="21"/>
                <w:szCs w:val="21"/>
                <w:lang w:val="en-US" w:eastAsia="zh-CN" w:bidi="ar"/>
              </w:rPr>
              <w:t>建模（口腔）</w:t>
            </w:r>
          </w:p>
        </w:tc>
        <w:tc>
          <w:tcPr>
            <w:tcW w:w="3742"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top"/>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利用医学影像检查等手段获得患者特定部位的真实信息。通过数字技术构建的虚拟3D模型、真实再现口腔及颌面特定部位的形态，能够满足疾病诊断、手术规划、治疗及导板设计的需要。价格构成涵盖数字化扫描、建模、存储、传输，装置设计等步骤的人力资源和基本物资消耗</w:t>
            </w:r>
          </w:p>
        </w:tc>
        <w:tc>
          <w:tcPr>
            <w:tcW w:w="624"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i w:val="0"/>
                <w:color w:val="000000"/>
                <w:kern w:val="2"/>
                <w:sz w:val="21"/>
                <w:szCs w:val="21"/>
                <w:u w:val="none"/>
                <w:lang w:val="en-US" w:eastAsia="zh-CN" w:bidi="ar-SA"/>
              </w:rPr>
            </w:pPr>
          </w:p>
        </w:tc>
        <w:tc>
          <w:tcPr>
            <w:tcW w:w="62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例</w:t>
            </w:r>
          </w:p>
        </w:tc>
        <w:tc>
          <w:tcPr>
            <w:tcW w:w="88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225</w:t>
            </w:r>
          </w:p>
        </w:tc>
        <w:tc>
          <w:tcPr>
            <w:tcW w:w="91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225</w:t>
            </w:r>
          </w:p>
        </w:tc>
        <w:tc>
          <w:tcPr>
            <w:tcW w:w="1350"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225</w:t>
            </w:r>
          </w:p>
        </w:tc>
        <w:tc>
          <w:tcPr>
            <w:tcW w:w="277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单颗常规种植应用医学3D建模按5%计价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397" w:type="dxa"/>
            <w:noWrap w:val="0"/>
            <w:vAlign w:val="center"/>
          </w:tcPr>
          <w:p>
            <w:pPr>
              <w:keepNext w:val="0"/>
              <w:keepLines w:val="0"/>
              <w:pageBreakBefore w:val="0"/>
              <w:widowControl w:val="0"/>
              <w:numPr>
                <w:ilvl w:val="0"/>
                <w:numId w:val="1"/>
              </w:numPr>
              <w:kinsoku/>
              <w:wordWrap/>
              <w:overflowPunct w:val="0"/>
              <w:topLinePunct w:val="0"/>
              <w:autoSpaceDE/>
              <w:autoSpaceDN/>
              <w:bidi w:val="0"/>
              <w:adjustRightInd/>
              <w:snapToGrid/>
              <w:spacing w:line="250" w:lineRule="exact"/>
              <w:ind w:left="0" w:leftChars="0" w:firstLine="0" w:firstLineChars="0"/>
              <w:jc w:val="center"/>
              <w:textAlignment w:val="auto"/>
              <w:rPr>
                <w:rFonts w:hint="default" w:ascii="Times New Roman" w:hAnsi="Times New Roman" w:eastAsia="仿宋_GB2312" w:cs="Times New Roman"/>
                <w:sz w:val="21"/>
                <w:szCs w:val="21"/>
                <w:vertAlign w:val="baseline"/>
                <w:lang w:val="en-US" w:eastAsia="zh-CN"/>
              </w:rPr>
            </w:pPr>
          </w:p>
        </w:tc>
        <w:tc>
          <w:tcPr>
            <w:tcW w:w="1757"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sz w:val="21"/>
                <w:szCs w:val="21"/>
                <w:vertAlign w:val="baseline"/>
                <w:lang w:val="en-US" w:eastAsia="zh-CN"/>
              </w:rPr>
            </w:pPr>
            <w:r>
              <w:rPr>
                <w:rFonts w:hint="eastAsia" w:eastAsia="仿宋_GB2312" w:cs="Times New Roman"/>
                <w:sz w:val="21"/>
                <w:szCs w:val="21"/>
                <w:vertAlign w:val="baseline"/>
                <w:lang w:val="en-US" w:eastAsia="zh-CN"/>
              </w:rPr>
              <w:t>01</w:t>
            </w:r>
            <w:r>
              <w:rPr>
                <w:rFonts w:hint="default" w:ascii="Times New Roman" w:hAnsi="Times New Roman" w:eastAsia="仿宋_GB2312" w:cs="Times New Roman"/>
                <w:sz w:val="21"/>
                <w:szCs w:val="21"/>
                <w:vertAlign w:val="baseline"/>
                <w:lang w:val="en-US" w:eastAsia="zh-CN"/>
              </w:rPr>
              <w:t>3105230020000</w:t>
            </w:r>
          </w:p>
        </w:tc>
        <w:tc>
          <w:tcPr>
            <w:tcW w:w="147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医学</w:t>
            </w:r>
            <w:r>
              <w:rPr>
                <w:rStyle w:val="11"/>
                <w:rFonts w:hint="default" w:ascii="Times New Roman" w:hAnsi="Times New Roman" w:eastAsia="仿宋_GB2312" w:cs="Times New Roman"/>
                <w:sz w:val="21"/>
                <w:szCs w:val="21"/>
                <w:lang w:val="en-US" w:eastAsia="zh-CN" w:bidi="ar"/>
              </w:rPr>
              <w:t>3D</w:t>
            </w:r>
            <w:r>
              <w:rPr>
                <w:rStyle w:val="12"/>
                <w:rFonts w:hint="default" w:ascii="Times New Roman" w:hAnsi="Times New Roman" w:eastAsia="仿宋_GB2312" w:cs="Times New Roman"/>
                <w:sz w:val="21"/>
                <w:szCs w:val="21"/>
                <w:lang w:val="en-US" w:eastAsia="zh-CN" w:bidi="ar"/>
              </w:rPr>
              <w:t>模型打印（口腔）</w:t>
            </w:r>
          </w:p>
        </w:tc>
        <w:tc>
          <w:tcPr>
            <w:tcW w:w="3742"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top"/>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将虚拟3D模型打印或切削制作成仅用于口腔疾病诊断、手术规划、治疗及导板设计的实体模型。价格构成涵盖3D打印或切削制作的人力资源和基本物资消耗</w:t>
            </w:r>
          </w:p>
        </w:tc>
        <w:tc>
          <w:tcPr>
            <w:tcW w:w="624"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i w:val="0"/>
                <w:color w:val="FF0000"/>
                <w:kern w:val="2"/>
                <w:sz w:val="21"/>
                <w:szCs w:val="21"/>
                <w:u w:val="none"/>
                <w:lang w:val="en-US" w:eastAsia="zh-CN" w:bidi="ar-SA"/>
              </w:rPr>
            </w:pPr>
          </w:p>
        </w:tc>
        <w:tc>
          <w:tcPr>
            <w:tcW w:w="62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件</w:t>
            </w:r>
          </w:p>
        </w:tc>
        <w:tc>
          <w:tcPr>
            <w:tcW w:w="88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320</w:t>
            </w:r>
          </w:p>
        </w:tc>
        <w:tc>
          <w:tcPr>
            <w:tcW w:w="91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320</w:t>
            </w:r>
          </w:p>
        </w:tc>
        <w:tc>
          <w:tcPr>
            <w:tcW w:w="1350"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320</w:t>
            </w:r>
          </w:p>
        </w:tc>
        <w:tc>
          <w:tcPr>
            <w:tcW w:w="277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单颗常规种植应用医学3D模型打印按5%计价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397" w:type="dxa"/>
            <w:noWrap w:val="0"/>
            <w:vAlign w:val="center"/>
          </w:tcPr>
          <w:p>
            <w:pPr>
              <w:keepNext w:val="0"/>
              <w:keepLines w:val="0"/>
              <w:pageBreakBefore w:val="0"/>
              <w:widowControl w:val="0"/>
              <w:numPr>
                <w:ilvl w:val="0"/>
                <w:numId w:val="1"/>
              </w:numPr>
              <w:kinsoku/>
              <w:wordWrap/>
              <w:overflowPunct w:val="0"/>
              <w:topLinePunct w:val="0"/>
              <w:autoSpaceDE/>
              <w:autoSpaceDN/>
              <w:bidi w:val="0"/>
              <w:adjustRightInd/>
              <w:snapToGrid/>
              <w:spacing w:line="250" w:lineRule="exact"/>
              <w:ind w:left="0" w:leftChars="0" w:firstLine="0" w:firstLineChars="0"/>
              <w:jc w:val="center"/>
              <w:textAlignment w:val="auto"/>
              <w:rPr>
                <w:rFonts w:hint="default" w:ascii="Times New Roman" w:hAnsi="Times New Roman" w:eastAsia="仿宋_GB2312" w:cs="Times New Roman"/>
                <w:sz w:val="21"/>
                <w:szCs w:val="21"/>
                <w:vertAlign w:val="baseline"/>
                <w:lang w:val="en-US" w:eastAsia="zh-CN"/>
              </w:rPr>
            </w:pPr>
          </w:p>
        </w:tc>
        <w:tc>
          <w:tcPr>
            <w:tcW w:w="1757"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sz w:val="21"/>
                <w:szCs w:val="21"/>
                <w:vertAlign w:val="baseline"/>
                <w:lang w:val="en-US" w:eastAsia="zh-CN"/>
              </w:rPr>
            </w:pPr>
            <w:r>
              <w:rPr>
                <w:rFonts w:hint="eastAsia" w:eastAsia="仿宋_GB2312" w:cs="Times New Roman"/>
                <w:sz w:val="21"/>
                <w:szCs w:val="21"/>
                <w:vertAlign w:val="baseline"/>
                <w:lang w:val="en-US" w:eastAsia="zh-CN"/>
              </w:rPr>
              <w:t>01</w:t>
            </w:r>
            <w:r>
              <w:rPr>
                <w:rFonts w:hint="default" w:ascii="Times New Roman" w:hAnsi="Times New Roman" w:eastAsia="仿宋_GB2312" w:cs="Times New Roman"/>
                <w:sz w:val="21"/>
                <w:szCs w:val="21"/>
                <w:vertAlign w:val="baseline"/>
                <w:lang w:val="en-US" w:eastAsia="zh-CN"/>
              </w:rPr>
              <w:t>3105230030000</w:t>
            </w:r>
          </w:p>
        </w:tc>
        <w:tc>
          <w:tcPr>
            <w:tcW w:w="147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医学</w:t>
            </w:r>
            <w:r>
              <w:rPr>
                <w:rStyle w:val="11"/>
                <w:rFonts w:hint="default" w:ascii="Times New Roman" w:hAnsi="Times New Roman" w:eastAsia="仿宋_GB2312" w:cs="Times New Roman"/>
                <w:sz w:val="21"/>
                <w:szCs w:val="21"/>
                <w:lang w:val="en-US" w:eastAsia="zh-CN" w:bidi="ar"/>
              </w:rPr>
              <w:t>3D</w:t>
            </w:r>
            <w:r>
              <w:rPr>
                <w:rStyle w:val="12"/>
                <w:rFonts w:hint="default" w:ascii="Times New Roman" w:hAnsi="Times New Roman" w:eastAsia="仿宋_GB2312" w:cs="Times New Roman"/>
                <w:sz w:val="21"/>
                <w:szCs w:val="21"/>
                <w:lang w:val="en-US" w:eastAsia="zh-CN" w:bidi="ar"/>
              </w:rPr>
              <w:t>导板打印（口腔）</w:t>
            </w:r>
          </w:p>
        </w:tc>
        <w:tc>
          <w:tcPr>
            <w:tcW w:w="3742"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top"/>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将虚拟3D模型打印或切削制作成用于治疗部位、确保植（置）入物精准到达和处理预定位置的实物模板或手术操作对治疗部位进行精确处理。价格构成涵盖3D打印或切削制作的人力资源和基本物资消耗</w:t>
            </w:r>
          </w:p>
        </w:tc>
        <w:tc>
          <w:tcPr>
            <w:tcW w:w="624" w:type="dxa"/>
            <w:noWrap w:val="0"/>
            <w:vAlign w:val="center"/>
          </w:tcPr>
          <w:p>
            <w:pPr>
              <w:keepNext w:val="0"/>
              <w:keepLines w:val="0"/>
              <w:pageBreakBefore w:val="0"/>
              <w:widowControl w:val="0"/>
              <w:kinsoku/>
              <w:wordWrap/>
              <w:overflowPunct w:val="0"/>
              <w:topLinePunct w:val="0"/>
              <w:autoSpaceDE/>
              <w:autoSpaceDN/>
              <w:bidi w:val="0"/>
              <w:adjustRightInd/>
              <w:snapToGrid/>
              <w:spacing w:line="250" w:lineRule="exact"/>
              <w:jc w:val="center"/>
              <w:rPr>
                <w:rFonts w:hint="default" w:ascii="Times New Roman" w:hAnsi="Times New Roman" w:eastAsia="仿宋_GB2312" w:cs="Times New Roman"/>
                <w:i w:val="0"/>
                <w:color w:val="FF0000"/>
                <w:kern w:val="2"/>
                <w:sz w:val="21"/>
                <w:szCs w:val="21"/>
                <w:u w:val="none"/>
                <w:lang w:val="en-US" w:eastAsia="zh-CN" w:bidi="ar-SA"/>
              </w:rPr>
            </w:pPr>
          </w:p>
        </w:tc>
        <w:tc>
          <w:tcPr>
            <w:tcW w:w="62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件</w:t>
            </w:r>
          </w:p>
        </w:tc>
        <w:tc>
          <w:tcPr>
            <w:tcW w:w="88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1800</w:t>
            </w:r>
          </w:p>
        </w:tc>
        <w:tc>
          <w:tcPr>
            <w:tcW w:w="914"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1800</w:t>
            </w:r>
          </w:p>
        </w:tc>
        <w:tc>
          <w:tcPr>
            <w:tcW w:w="1350"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1800</w:t>
            </w:r>
          </w:p>
        </w:tc>
        <w:tc>
          <w:tcPr>
            <w:tcW w:w="2778" w:type="dxa"/>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单颗常规种植应用医学3D导板打印按5%计价</w:t>
            </w:r>
          </w:p>
        </w:tc>
      </w:tr>
    </w:tbl>
    <w:p>
      <w:pPr>
        <w:spacing w:line="560" w:lineRule="exact"/>
        <w:ind w:firstLine="0" w:firstLineChars="0"/>
        <w:rPr>
          <w:rFonts w:hint="eastAsia" w:ascii="黑体" w:hAnsi="黑体" w:eastAsia="黑体" w:cs="黑体"/>
          <w:sz w:val="32"/>
          <w:szCs w:val="32"/>
          <w:lang w:val="en-US" w:eastAsia="zh-CN"/>
        </w:rPr>
        <w:sectPr>
          <w:footerReference r:id="rId5" w:type="default"/>
          <w:footerReference r:id="rId6" w:type="even"/>
          <w:pgSz w:w="16838" w:h="11906" w:orient="landscape"/>
          <w:pgMar w:top="2098" w:right="1474" w:bottom="1984" w:left="1587" w:header="850" w:footer="850" w:gutter="0"/>
          <w:pgNumType w:fmt="decimal"/>
          <w:cols w:space="720" w:num="1"/>
          <w:rtlGutter w:val="0"/>
          <w:docGrid w:type="linesAndChars" w:linePitch="289" w:charSpace="-1844"/>
        </w:sectPr>
      </w:pPr>
    </w:p>
    <w:p>
      <w:pPr>
        <w:spacing w:line="560" w:lineRule="exact"/>
        <w:ind w:firstLine="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560" w:lineRule="exact"/>
        <w:ind w:firstLine="0"/>
        <w:rPr>
          <w:rFonts w:hint="eastAsia" w:ascii="Times New Roman" w:hAnsi="Times New Roman" w:eastAsia="仿宋_GB2312" w:cs="Times New Roman"/>
          <w:sz w:val="32"/>
          <w:szCs w:val="32"/>
          <w:lang w:val="en-US" w:eastAsia="zh-CN"/>
        </w:rPr>
      </w:pP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龈下刮治医疗服务价格项目表</w:t>
      </w:r>
    </w:p>
    <w:p>
      <w:pPr>
        <w:spacing w:line="560" w:lineRule="exact"/>
        <w:ind w:firstLine="0"/>
        <w:rPr>
          <w:rFonts w:hint="eastAsia" w:ascii="Times New Roman" w:hAnsi="Times New Roman" w:eastAsia="仿宋_GB2312" w:cs="Times New Roman"/>
          <w:sz w:val="32"/>
          <w:szCs w:val="32"/>
          <w:lang w:val="en-US" w:eastAsia="zh-CN"/>
        </w:rPr>
      </w:pPr>
    </w:p>
    <w:tbl>
      <w:tblPr>
        <w:tblStyle w:val="7"/>
        <w:tblW w:w="91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59"/>
        <w:gridCol w:w="2917"/>
        <w:gridCol w:w="850"/>
        <w:gridCol w:w="833"/>
        <w:gridCol w:w="833"/>
        <w:gridCol w:w="1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jc w:val="center"/>
        </w:trPr>
        <w:tc>
          <w:tcPr>
            <w:tcW w:w="1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项目名称</w:t>
            </w:r>
          </w:p>
        </w:tc>
        <w:tc>
          <w:tcPr>
            <w:tcW w:w="2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项目内涵</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除外</w:t>
            </w:r>
          </w:p>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内容</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计价</w:t>
            </w:r>
          </w:p>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单位</w:t>
            </w: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价格</w:t>
            </w:r>
          </w:p>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（元）</w:t>
            </w:r>
          </w:p>
        </w:tc>
        <w:tc>
          <w:tcPr>
            <w:tcW w:w="1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250" w:lineRule="exact"/>
              <w:jc w:val="center"/>
              <w:textAlignment w:val="center"/>
              <w:rPr>
                <w:rFonts w:hint="eastAsia" w:ascii="黑体" w:hAnsi="黑体" w:eastAsia="黑体" w:cs="黑体"/>
                <w:i w:val="0"/>
                <w:color w:val="000000"/>
                <w:kern w:val="0"/>
                <w:sz w:val="21"/>
                <w:szCs w:val="21"/>
                <w:u w:val="none"/>
                <w:lang w:val="en-US" w:eastAsia="zh-CN" w:bidi="ar"/>
              </w:rPr>
            </w:pPr>
            <w:r>
              <w:rPr>
                <w:rFonts w:hint="eastAsia" w:ascii="黑体" w:hAnsi="黑体" w:eastAsia="黑体" w:cs="黑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jc w:val="center"/>
        </w:trPr>
        <w:tc>
          <w:tcPr>
            <w:tcW w:w="1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龈下刮治</w:t>
            </w:r>
          </w:p>
        </w:tc>
        <w:tc>
          <w:tcPr>
            <w:tcW w:w="2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both"/>
              <w:textAlignment w:val="top"/>
              <w:rPr>
                <w:rFonts w:hint="default" w:ascii="Times New Roman" w:hAnsi="Times New Roman" w:eastAsia="仿宋_GB2312" w:cs="Times New Roman"/>
                <w:i w:val="0"/>
                <w:color w:val="000000"/>
                <w:kern w:val="0"/>
                <w:sz w:val="21"/>
                <w:szCs w:val="21"/>
                <w:u w:val="none"/>
                <w:lang w:bidi="ar"/>
              </w:rPr>
            </w:pPr>
            <w:r>
              <w:rPr>
                <w:rFonts w:hint="default" w:ascii="Times New Roman" w:hAnsi="Times New Roman" w:eastAsia="仿宋_GB2312" w:cs="Times New Roman"/>
                <w:i w:val="0"/>
                <w:color w:val="000000"/>
                <w:kern w:val="0"/>
                <w:sz w:val="21"/>
                <w:szCs w:val="21"/>
                <w:u w:val="none"/>
                <w:lang w:val="en-US" w:eastAsia="zh-CN" w:bidi="ar"/>
              </w:rPr>
              <w:t>口内消毒，用龈下超声工作尖或手持刮治器去除自然牙根各面龈下牙石、菌斑等的治疗过程，牙周袋冲洗上药</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top"/>
              <w:rPr>
                <w:rFonts w:hint="default" w:ascii="Times New Roman" w:hAnsi="Times New Roman" w:eastAsia="仿宋_GB2312" w:cs="Times New Roman"/>
                <w:b w:val="0"/>
                <w:i w:val="0"/>
                <w:color w:val="000000"/>
                <w:kern w:val="0"/>
                <w:sz w:val="21"/>
                <w:szCs w:val="21"/>
                <w:u w:val="none"/>
                <w:lang w:bidi="ar"/>
              </w:rPr>
            </w:pPr>
          </w:p>
        </w:tc>
        <w:tc>
          <w:tcPr>
            <w:tcW w:w="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top"/>
              <w:rPr>
                <w:rFonts w:hint="default" w:ascii="Times New Roman" w:hAnsi="Times New Roman" w:eastAsia="仿宋_GB2312" w:cs="Times New Roman"/>
                <w:i w:val="0"/>
                <w:color w:val="000000"/>
                <w:kern w:val="0"/>
                <w:sz w:val="21"/>
                <w:szCs w:val="21"/>
                <w:u w:val="none"/>
                <w:lang w:bidi="ar"/>
              </w:rPr>
            </w:pPr>
            <w:r>
              <w:rPr>
                <w:rFonts w:hint="default" w:ascii="Times New Roman" w:hAnsi="Times New Roman" w:eastAsia="仿宋_GB2312" w:cs="Times New Roman"/>
                <w:i w:val="0"/>
                <w:color w:val="000000"/>
                <w:kern w:val="0"/>
                <w:sz w:val="21"/>
                <w:szCs w:val="21"/>
                <w:u w:val="none"/>
                <w:lang w:val="en-US" w:eastAsia="zh-CN" w:bidi="ar"/>
              </w:rPr>
              <w:t>每牙</w:t>
            </w:r>
          </w:p>
        </w:tc>
        <w:tc>
          <w:tcPr>
            <w:tcW w:w="8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300" w:lineRule="exact"/>
              <w:jc w:val="center"/>
              <w:textAlignment w:val="top"/>
              <w:rPr>
                <w:rFonts w:hint="default" w:ascii="Times New Roman" w:hAnsi="Times New Roman" w:eastAsia="仿宋_GB2312" w:cs="Times New Roman"/>
                <w:i w:val="0"/>
                <w:color w:val="000000"/>
                <w:kern w:val="0"/>
                <w:sz w:val="21"/>
                <w:szCs w:val="21"/>
                <w:u w:val="none"/>
                <w:lang w:bidi="ar"/>
              </w:rPr>
            </w:pPr>
            <w:r>
              <w:rPr>
                <w:rFonts w:hint="default" w:ascii="Times New Roman" w:hAnsi="Times New Roman" w:eastAsia="仿宋_GB2312" w:cs="Times New Roman"/>
                <w:i w:val="0"/>
                <w:color w:val="000000"/>
                <w:kern w:val="0"/>
                <w:sz w:val="21"/>
                <w:szCs w:val="21"/>
                <w:u w:val="none"/>
                <w:lang w:val="en-US" w:eastAsia="zh-CN" w:bidi="ar"/>
              </w:rPr>
              <w:t>30</w:t>
            </w:r>
          </w:p>
        </w:tc>
        <w:tc>
          <w:tcPr>
            <w:tcW w:w="19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bidi w:val="0"/>
              <w:adjustRightInd/>
              <w:snapToGrid/>
              <w:spacing w:line="300" w:lineRule="exact"/>
              <w:jc w:val="both"/>
              <w:textAlignment w:val="top"/>
              <w:rPr>
                <w:rFonts w:hint="default" w:ascii="Times New Roman" w:hAnsi="Times New Roman" w:eastAsia="仿宋_GB2312" w:cs="Times New Roman"/>
                <w:i w:val="0"/>
                <w:color w:val="000000"/>
                <w:kern w:val="0"/>
                <w:sz w:val="21"/>
                <w:szCs w:val="21"/>
                <w:u w:val="none"/>
                <w:lang w:bidi="ar"/>
              </w:rPr>
            </w:pPr>
          </w:p>
        </w:tc>
      </w:tr>
    </w:tbl>
    <w:p>
      <w:pPr>
        <w:spacing w:line="560" w:lineRule="exact"/>
        <w:jc w:val="both"/>
        <w:rPr>
          <w:rFonts w:hint="eastAsia" w:ascii="Times New Roman" w:hAnsi="Times New Roman" w:eastAsia="仿宋_GB2312" w:cs="Times New Roman"/>
          <w:sz w:val="32"/>
          <w:szCs w:val="32"/>
          <w:lang w:val="en-US" w:eastAsia="zh-CN"/>
        </w:rPr>
      </w:pPr>
    </w:p>
    <w:p>
      <w:r>
        <w:br w:type="page"/>
      </w:r>
    </w:p>
    <w:tbl>
      <w:tblPr>
        <w:tblStyle w:val="7"/>
        <w:tblpPr w:leftFromText="180" w:rightFromText="180" w:vertAnchor="text" w:horzAnchor="page" w:tblpX="1520" w:tblpY="12081"/>
        <w:tblOverlap w:val="never"/>
        <w:tblW w:w="8999"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9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99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271" w:firstLineChars="1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温州市医疗保障局办公室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 xml:space="preserve">日印发 </w:t>
            </w:r>
          </w:p>
        </w:tc>
      </w:tr>
    </w:tbl>
    <w:p>
      <w:pPr>
        <w:pStyle w:val="2"/>
      </w:pPr>
    </w:p>
    <w:sectPr>
      <w:pgSz w:w="11906" w:h="16838"/>
      <w:pgMar w:top="2041" w:right="1531" w:bottom="2041" w:left="1531" w:header="851" w:footer="850" w:gutter="0"/>
      <w:pgNumType w:fmt="decimal"/>
      <w:cols w:space="720" w:num="1"/>
      <w:rtlGutter w:val="0"/>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-487680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8.4pt;height:144pt;width:144pt;mso-position-horizontal:outside;mso-position-horizontal-relative:margin;mso-wrap-style:none;z-index:251661312;mso-width-relative:page;mso-height-relative:page;" filled="f" stroked="f" coordsize="21600,21600" o:gfxdata="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3ywYzVAAAACAEAAA8AAAAAAAAAAQAgAAAAIgAAAGRycy9kb3ducmV2LnhtbFBL&#10;AQIUABQAAAAIAIdO4kDhgNOOMgIAAGEEAAAOAAAAAAAAAAEAIAAAACQBAABkcnMvZTJvRG9jLnht&#10;bFBLBQYAAAAABgAGAFkBAADI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8844"/>
        <w:tab w:val="clear" w:pos="8306"/>
      </w:tabs>
      <w:rPr>
        <w:rFonts w:hint="eastAsia" w:asci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-487680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8.4pt;height:144pt;width:144pt;mso-position-horizontal:outside;mso-position-horizontal-relative:margin;mso-wrap-style:none;z-index:251662336;mso-width-relative:page;mso-height-relative:page;" filled="f" stroked="f" coordsize="21600,21600" o:gfxdata="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fLBjNUAAAAIAQAADwAAAAAAAAABACAAAAAiAAAAZHJzL2Rvd25yZXYueG1sUEsB&#10;AhQAFAAAAAgAh07iQDCJEl4xAgAAYQQAAA4AAAAAAAAAAQAgAAAAJAEAAGRycy9lMm9Eb2MueG1s&#10;UEsFBgAAAAAGAAYAWQEAAMc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ascii="宋体"/>
        <w:sz w:val="28"/>
        <w:szCs w:val="28"/>
      </w:rPr>
    </w:pPr>
    <w:r>
      <w:rPr>
        <w:rFonts w:hint="eastAsia" w:ascii="宋体"/>
        <w:kern w:val="0"/>
        <w:sz w:val="28"/>
        <w:szCs w:val="28"/>
      </w:rPr>
      <w:t xml:space="preserve">- </w:t>
    </w:r>
    <w:r>
      <w:rPr>
        <w:rFonts w:hint="eastAsia" w:ascii="宋体"/>
        <w:kern w:val="0"/>
        <w:sz w:val="28"/>
        <w:szCs w:val="28"/>
      </w:rPr>
      <w:fldChar w:fldCharType="begin"/>
    </w:r>
    <w:r>
      <w:rPr>
        <w:rFonts w:hint="eastAsia" w:ascii="宋体"/>
        <w:kern w:val="0"/>
        <w:sz w:val="28"/>
        <w:szCs w:val="28"/>
      </w:rPr>
      <w:instrText xml:space="preserve"> PAGE </w:instrText>
    </w:r>
    <w:r>
      <w:rPr>
        <w:rFonts w:hint="eastAsia" w:ascii="宋体"/>
        <w:kern w:val="0"/>
        <w:sz w:val="28"/>
        <w:szCs w:val="28"/>
      </w:rPr>
      <w:fldChar w:fldCharType="separate"/>
    </w:r>
    <w:r>
      <w:rPr>
        <w:rFonts w:ascii="宋体"/>
        <w:kern w:val="0"/>
        <w:sz w:val="28"/>
        <w:szCs w:val="28"/>
      </w:rPr>
      <w:t>2</w:t>
    </w:r>
    <w:r>
      <w:rPr>
        <w:rFonts w:hint="eastAsia" w:ascii="宋体"/>
        <w:kern w:val="0"/>
        <w:sz w:val="28"/>
        <w:szCs w:val="28"/>
      </w:rPr>
      <w:fldChar w:fldCharType="end"/>
    </w:r>
    <w:r>
      <w:rPr>
        <w:rFonts w:hint="eastAsia" w:ascii="宋体"/>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E07E04"/>
    <w:multiLevelType w:val="singleLevel"/>
    <w:tmpl w:val="BDE07E04"/>
    <w:lvl w:ilvl="0" w:tentative="0">
      <w:start w:val="1"/>
      <w:numFmt w:val="decimal"/>
      <w:suff w:val="nothing"/>
      <w:lvlText w:val="%1"/>
      <w:lvlJc w:val="left"/>
      <w:pPr>
        <w:ind w:left="0" w:firstLine="40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4N2ZkYzBmNjIyMGMwOGMxNTg3ZTdmYzc5YzlkOGIifQ=="/>
    <w:docVar w:name="KSO_WPS_MARK_KEY" w:val="9ed562ac-cf99-48a6-af02-7f1b2e74287b"/>
  </w:docVars>
  <w:rsids>
    <w:rsidRoot w:val="7CAB36E7"/>
    <w:rsid w:val="002B247F"/>
    <w:rsid w:val="00D3394F"/>
    <w:rsid w:val="00FA7B3F"/>
    <w:rsid w:val="01613118"/>
    <w:rsid w:val="01D16DC1"/>
    <w:rsid w:val="020C0D2B"/>
    <w:rsid w:val="02403330"/>
    <w:rsid w:val="03833E72"/>
    <w:rsid w:val="04BC1A0B"/>
    <w:rsid w:val="04FC263C"/>
    <w:rsid w:val="072759F7"/>
    <w:rsid w:val="072E6CF9"/>
    <w:rsid w:val="093F51ED"/>
    <w:rsid w:val="09D65B51"/>
    <w:rsid w:val="0A92134D"/>
    <w:rsid w:val="0B67747C"/>
    <w:rsid w:val="0C0C1FEB"/>
    <w:rsid w:val="0DA823CA"/>
    <w:rsid w:val="0DE916F2"/>
    <w:rsid w:val="0EBE4E06"/>
    <w:rsid w:val="115C0990"/>
    <w:rsid w:val="116577BB"/>
    <w:rsid w:val="1286738C"/>
    <w:rsid w:val="12B15CFA"/>
    <w:rsid w:val="147B758D"/>
    <w:rsid w:val="16C90DC6"/>
    <w:rsid w:val="1B8446DB"/>
    <w:rsid w:val="1FA354BF"/>
    <w:rsid w:val="209E7D32"/>
    <w:rsid w:val="2101620F"/>
    <w:rsid w:val="211663DC"/>
    <w:rsid w:val="213F1DD6"/>
    <w:rsid w:val="235E3810"/>
    <w:rsid w:val="23CE1C31"/>
    <w:rsid w:val="244905A6"/>
    <w:rsid w:val="24997693"/>
    <w:rsid w:val="24D61A0F"/>
    <w:rsid w:val="28CF44CD"/>
    <w:rsid w:val="28DE7636"/>
    <w:rsid w:val="2ACC62F9"/>
    <w:rsid w:val="2C76634B"/>
    <w:rsid w:val="2D917516"/>
    <w:rsid w:val="2DEF52D8"/>
    <w:rsid w:val="2DF449B1"/>
    <w:rsid w:val="2FCA72C2"/>
    <w:rsid w:val="302D729E"/>
    <w:rsid w:val="319A122D"/>
    <w:rsid w:val="325425A3"/>
    <w:rsid w:val="32801B87"/>
    <w:rsid w:val="34FB796B"/>
    <w:rsid w:val="38A85BDE"/>
    <w:rsid w:val="38C22C79"/>
    <w:rsid w:val="39763A64"/>
    <w:rsid w:val="3A9F1610"/>
    <w:rsid w:val="3BA925ED"/>
    <w:rsid w:val="3D65332B"/>
    <w:rsid w:val="3E0D4D71"/>
    <w:rsid w:val="3E206FCF"/>
    <w:rsid w:val="3E690030"/>
    <w:rsid w:val="40327EFA"/>
    <w:rsid w:val="40861EE8"/>
    <w:rsid w:val="40F04483"/>
    <w:rsid w:val="419639D2"/>
    <w:rsid w:val="41BD4926"/>
    <w:rsid w:val="42EB5DDF"/>
    <w:rsid w:val="434318AF"/>
    <w:rsid w:val="435C75A2"/>
    <w:rsid w:val="436E2380"/>
    <w:rsid w:val="44703F19"/>
    <w:rsid w:val="44C87D4A"/>
    <w:rsid w:val="44E915E3"/>
    <w:rsid w:val="44F41584"/>
    <w:rsid w:val="4698704D"/>
    <w:rsid w:val="47D31984"/>
    <w:rsid w:val="4A0D3F70"/>
    <w:rsid w:val="4B3774F7"/>
    <w:rsid w:val="4B890B2B"/>
    <w:rsid w:val="4B933353"/>
    <w:rsid w:val="4C7E2F03"/>
    <w:rsid w:val="4CCB636A"/>
    <w:rsid w:val="4CE44E56"/>
    <w:rsid w:val="4D6E11CA"/>
    <w:rsid w:val="4E9573E5"/>
    <w:rsid w:val="4F710AFD"/>
    <w:rsid w:val="4F7767F6"/>
    <w:rsid w:val="4FAF43E8"/>
    <w:rsid w:val="50FC4057"/>
    <w:rsid w:val="51180083"/>
    <w:rsid w:val="53285977"/>
    <w:rsid w:val="535443F7"/>
    <w:rsid w:val="54790B80"/>
    <w:rsid w:val="556C647F"/>
    <w:rsid w:val="55C5183A"/>
    <w:rsid w:val="57D61E46"/>
    <w:rsid w:val="5BD94E3A"/>
    <w:rsid w:val="5C3B496D"/>
    <w:rsid w:val="5C7F0CFE"/>
    <w:rsid w:val="5E645EE2"/>
    <w:rsid w:val="5E8405D0"/>
    <w:rsid w:val="5EB033F0"/>
    <w:rsid w:val="5EFD0600"/>
    <w:rsid w:val="5F100333"/>
    <w:rsid w:val="614B38A4"/>
    <w:rsid w:val="62B94AF1"/>
    <w:rsid w:val="630D1425"/>
    <w:rsid w:val="63360306"/>
    <w:rsid w:val="64080052"/>
    <w:rsid w:val="670A6AA8"/>
    <w:rsid w:val="679413D5"/>
    <w:rsid w:val="679F4002"/>
    <w:rsid w:val="68AB6B45"/>
    <w:rsid w:val="6B0B7BE1"/>
    <w:rsid w:val="6C3867D3"/>
    <w:rsid w:val="6CE95D1F"/>
    <w:rsid w:val="6D156B14"/>
    <w:rsid w:val="6D3F3718"/>
    <w:rsid w:val="71BC29FA"/>
    <w:rsid w:val="721B2E1F"/>
    <w:rsid w:val="72536115"/>
    <w:rsid w:val="72D7218C"/>
    <w:rsid w:val="72F856EE"/>
    <w:rsid w:val="73F30D33"/>
    <w:rsid w:val="761F0653"/>
    <w:rsid w:val="76430B19"/>
    <w:rsid w:val="76FE71D3"/>
    <w:rsid w:val="7762504C"/>
    <w:rsid w:val="78C51351"/>
    <w:rsid w:val="79272682"/>
    <w:rsid w:val="79C478F8"/>
    <w:rsid w:val="7AD30CEB"/>
    <w:rsid w:val="7BCC39B7"/>
    <w:rsid w:val="7CAB36E7"/>
    <w:rsid w:val="7DD10836"/>
    <w:rsid w:val="7FAF6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1"/>
    <w:qFormat/>
    <w:uiPriority w:val="0"/>
    <w:pPr>
      <w:spacing w:after="0" w:line="500" w:lineRule="exact"/>
      <w:ind w:firstLine="420"/>
    </w:pPr>
    <w:rPr>
      <w:sz w:val="2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font51"/>
    <w:basedOn w:val="9"/>
    <w:qFormat/>
    <w:uiPriority w:val="0"/>
    <w:rPr>
      <w:rFonts w:hint="default" w:ascii="Cambria" w:hAnsi="Cambria" w:eastAsia="Cambria" w:cs="Cambria"/>
      <w:color w:val="000000"/>
      <w:sz w:val="20"/>
      <w:szCs w:val="20"/>
      <w:u w:val="none"/>
    </w:rPr>
  </w:style>
  <w:style w:type="character" w:customStyle="1" w:styleId="12">
    <w:name w:val="font0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4616</Words>
  <Characters>5223</Characters>
  <Lines>0</Lines>
  <Paragraphs>0</Paragraphs>
  <TotalTime>6</TotalTime>
  <ScaleCrop>false</ScaleCrop>
  <LinksUpToDate>false</LinksUpToDate>
  <CharactersWithSpaces>5249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2023-03-03T04:26:00Z</dcterms:created>
  <dc:creator>jj</dc:creator>
  <cp:lastModifiedBy>innnnnnnn</cp:lastModifiedBy>
  <cp:lastPrinted>2023-03-28T07:02:00Z</cp:lastPrinted>
  <dcterms:modified xsi:type="dcterms:W3CDTF">2023-03-30T01:52:13Z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DAC8B0587B924A81BD89762DEAED40C9</vt:lpwstr>
  </property>
</Properties>
</file>