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topLinePunct w:val="0"/>
        <w:bidi w:val="0"/>
        <w:snapToGrid/>
        <w:spacing w:line="550" w:lineRule="exact"/>
        <w:ind w:left="0" w:leftChars="0" w:firstLine="0" w:firstLineChars="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附件2</w:t>
      </w:r>
    </w:p>
    <w:p>
      <w:pPr>
        <w:pStyle w:val="4"/>
        <w:keepNext w:val="0"/>
        <w:keepLines w:val="0"/>
        <w:pageBreakBefore w:val="0"/>
        <w:kinsoku/>
        <w:wordWrap/>
        <w:topLinePunct w:val="0"/>
        <w:bidi w:val="0"/>
        <w:snapToGrid/>
        <w:spacing w:line="550" w:lineRule="exact"/>
        <w:jc w:val="center"/>
        <w:textAlignment w:val="auto"/>
        <w:rPr>
          <w:rFonts w:hint="eastAsia" w:ascii="方正小标宋简体" w:hAnsi="方正小标宋简体" w:eastAsia="方正小标宋简体" w:cs="方正小标宋简体"/>
          <w:b w:val="0"/>
          <w:bCs w:val="0"/>
          <w:color w:val="000000"/>
          <w:sz w:val="44"/>
          <w:szCs w:val="44"/>
          <w:highlight w:val="none"/>
          <w:lang w:eastAsia="zh-CN"/>
        </w:rPr>
      </w:pPr>
    </w:p>
    <w:p>
      <w:pPr>
        <w:pStyle w:val="4"/>
        <w:keepNext w:val="0"/>
        <w:keepLines w:val="0"/>
        <w:pageBreakBefore w:val="0"/>
        <w:kinsoku/>
        <w:wordWrap/>
        <w:topLinePunct w:val="0"/>
        <w:bidi w:val="0"/>
        <w:snapToGrid/>
        <w:spacing w:line="550" w:lineRule="exact"/>
        <w:ind w:left="0" w:leftChars="0" w:firstLine="0" w:firstLineChars="0"/>
        <w:jc w:val="center"/>
        <w:textAlignment w:val="auto"/>
        <w:rPr>
          <w:rFonts w:hint="eastAsia" w:ascii="方正小标宋简体" w:hAnsi="方正小标宋简体" w:eastAsia="方正小标宋简体" w:cs="方正小标宋简体"/>
          <w:b w:val="0"/>
          <w:bCs w:val="0"/>
          <w:color w:val="000000"/>
          <w:sz w:val="44"/>
          <w:szCs w:val="44"/>
          <w:highlight w:val="none"/>
          <w:lang w:eastAsia="zh-CN"/>
        </w:rPr>
      </w:pPr>
      <w:bookmarkStart w:id="1" w:name="_GoBack"/>
      <w:r>
        <w:rPr>
          <w:rFonts w:hint="eastAsia" w:ascii="方正小标宋简体" w:hAnsi="方正小标宋简体" w:eastAsia="方正小标宋简体" w:cs="方正小标宋简体"/>
          <w:b w:val="0"/>
          <w:bCs w:val="0"/>
          <w:color w:val="000000"/>
          <w:sz w:val="44"/>
          <w:szCs w:val="44"/>
          <w:highlight w:val="none"/>
          <w:lang w:eastAsia="zh-CN"/>
        </w:rPr>
        <w:t>温州市</w:t>
      </w:r>
      <w:r>
        <w:rPr>
          <w:rFonts w:hint="eastAsia" w:ascii="方正小标宋简体" w:hAnsi="方正小标宋简体" w:eastAsia="方正小标宋简体" w:cs="方正小标宋简体"/>
          <w:b w:val="0"/>
          <w:bCs w:val="0"/>
          <w:color w:val="000000"/>
          <w:sz w:val="44"/>
          <w:szCs w:val="44"/>
          <w:highlight w:val="none"/>
          <w:lang w:val="en-US" w:eastAsia="zh-CN"/>
        </w:rPr>
        <w:t>长期护理保险</w:t>
      </w:r>
      <w:r>
        <w:rPr>
          <w:rFonts w:hint="eastAsia" w:ascii="方正小标宋简体" w:hAnsi="方正小标宋简体" w:eastAsia="方正小标宋简体" w:cs="方正小标宋简体"/>
          <w:b w:val="0"/>
          <w:bCs w:val="0"/>
          <w:color w:val="000000"/>
          <w:sz w:val="44"/>
          <w:szCs w:val="44"/>
          <w:highlight w:val="none"/>
          <w:lang w:eastAsia="zh-CN"/>
        </w:rPr>
        <w:t>定点机构协议管理</w:t>
      </w:r>
    </w:p>
    <w:p>
      <w:pPr>
        <w:keepNext w:val="0"/>
        <w:keepLines w:val="0"/>
        <w:pageBreakBefore w:val="0"/>
        <w:widowControl w:val="0"/>
        <w:kinsoku/>
        <w:wordWrap/>
        <w:topLinePunct w:val="0"/>
        <w:bidi w:val="0"/>
        <w:snapToGrid/>
        <w:spacing w:line="550" w:lineRule="exact"/>
        <w:ind w:left="0" w:leftChars="0"/>
        <w:jc w:val="center"/>
        <w:textAlignment w:val="auto"/>
        <w:rPr>
          <w:rFonts w:hint="eastAsia" w:ascii="方正小标宋简体" w:hAnsi="方正小标宋简体" w:eastAsia="方正小标宋简体" w:cs="方正小标宋简体"/>
          <w:b w:val="0"/>
          <w:bCs w:val="0"/>
          <w:color w:val="000000"/>
          <w:sz w:val="44"/>
          <w:szCs w:val="44"/>
          <w:highlight w:val="none"/>
          <w:lang w:eastAsia="zh-CN"/>
        </w:rPr>
      </w:pPr>
      <w:r>
        <w:rPr>
          <w:rFonts w:hint="eastAsia" w:ascii="方正小标宋简体" w:hAnsi="方正小标宋简体" w:eastAsia="方正小标宋简体" w:cs="方正小标宋简体"/>
          <w:b w:val="0"/>
          <w:bCs w:val="0"/>
          <w:color w:val="000000"/>
          <w:sz w:val="44"/>
          <w:szCs w:val="44"/>
          <w:highlight w:val="none"/>
          <w:lang w:eastAsia="zh-CN"/>
        </w:rPr>
        <w:t>实施细则（试行）</w:t>
      </w:r>
    </w:p>
    <w:bookmarkEnd w:id="1"/>
    <w:p>
      <w:pPr>
        <w:pStyle w:val="7"/>
        <w:keepNext w:val="0"/>
        <w:keepLines w:val="0"/>
        <w:pageBreakBefore w:val="0"/>
        <w:widowControl w:val="0"/>
        <w:kinsoku/>
        <w:wordWrap/>
        <w:topLinePunct w:val="0"/>
        <w:bidi w:val="0"/>
        <w:snapToGrid/>
        <w:spacing w:after="0" w:line="550" w:lineRule="exact"/>
        <w:ind w:left="0" w:leftChars="0" w:firstLine="560" w:firstLineChars="200"/>
        <w:textAlignment w:val="auto"/>
        <w:rPr>
          <w:rFonts w:hint="default"/>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134" w:line="550" w:lineRule="exact"/>
        <w:ind w:left="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为进一步深化我市长期护理保险试点工作，加强长期护理服务资源的优化配置，维护参保人基本医疗保障权益，根据</w:t>
      </w:r>
      <w:r>
        <w:rPr>
          <w:rFonts w:hint="eastAsia" w:ascii="仿宋_GB2312" w:hAnsi="仿宋_GB2312" w:eastAsia="仿宋_GB2312" w:cs="仿宋_GB2312"/>
          <w:spacing w:val="-14"/>
          <w:sz w:val="32"/>
          <w:szCs w:val="32"/>
          <w:highlight w:val="none"/>
        </w:rPr>
        <w:t>《浙江省</w:t>
      </w:r>
      <w:r>
        <w:rPr>
          <w:rFonts w:hint="eastAsia" w:ascii="仿宋_GB2312" w:hAnsi="仿宋_GB2312" w:eastAsia="仿宋_GB2312" w:cs="仿宋_GB2312"/>
          <w:spacing w:val="-3"/>
          <w:sz w:val="32"/>
          <w:szCs w:val="32"/>
          <w:highlight w:val="none"/>
        </w:rPr>
        <w:t>医疗保障局浙江省财政厅印发〈关于深化长期护理保险制度试点的指导意见〉的通知》(浙医保联发〔20</w:t>
      </w:r>
      <w:r>
        <w:rPr>
          <w:rFonts w:hint="eastAsia" w:ascii="仿宋_GB2312" w:hAnsi="仿宋_GB2312" w:eastAsia="仿宋_GB2312" w:cs="仿宋_GB2312"/>
          <w:spacing w:val="-4"/>
          <w:sz w:val="32"/>
          <w:szCs w:val="32"/>
          <w:highlight w:val="none"/>
        </w:rPr>
        <w:t>22〕6号)文件精神，</w:t>
      </w:r>
      <w:r>
        <w:rPr>
          <w:rFonts w:hint="eastAsia" w:ascii="仿宋_GB2312" w:hAnsi="仿宋_GB2312" w:eastAsia="仿宋_GB2312" w:cs="仿宋_GB2312"/>
          <w:spacing w:val="-4"/>
          <w:sz w:val="32"/>
          <w:szCs w:val="32"/>
          <w:highlight w:val="none"/>
          <w:lang w:val="en-US" w:eastAsia="zh-CN"/>
        </w:rPr>
        <w:t>参照</w:t>
      </w:r>
      <w:r>
        <w:rPr>
          <w:rFonts w:hint="eastAsia" w:ascii="仿宋_GB2312" w:hAnsi="仿宋_GB2312" w:eastAsia="仿宋_GB2312" w:cs="仿宋_GB2312"/>
          <w:color w:val="auto"/>
          <w:kern w:val="2"/>
          <w:sz w:val="32"/>
          <w:szCs w:val="32"/>
          <w:highlight w:val="none"/>
          <w:lang w:val="en-US" w:eastAsia="zh-CN" w:bidi="ar-SA"/>
        </w:rPr>
        <w:t>浙江省市场监督管理局发布《长期护理保险护理服务供给规范》（DB33/T2430-2022.3.1）、浙江省医疗保障标准化技术委员会《关于发布&lt;</w:t>
      </w:r>
      <w:r>
        <w:rPr>
          <w:rFonts w:hint="eastAsia" w:ascii="仿宋_GB2312" w:hAnsi="仿宋_GB2312" w:eastAsia="仿宋_GB2312" w:cs="仿宋_GB2312"/>
          <w:spacing w:val="-9"/>
          <w:sz w:val="32"/>
          <w:szCs w:val="32"/>
          <w:highlight w:val="none"/>
        </w:rPr>
        <w:t>长期护理保险业务经办管理规范</w:t>
      </w:r>
      <w:r>
        <w:rPr>
          <w:rFonts w:hint="eastAsia" w:ascii="仿宋_GB2312" w:hAnsi="仿宋_GB2312" w:eastAsia="仿宋_GB2312" w:cs="仿宋_GB2312"/>
          <w:spacing w:val="-9"/>
          <w:sz w:val="32"/>
          <w:szCs w:val="32"/>
          <w:highlight w:val="none"/>
          <w:lang w:eastAsia="zh-CN"/>
        </w:rPr>
        <w:t>&gt;</w:t>
      </w:r>
      <w:r>
        <w:rPr>
          <w:rFonts w:hint="eastAsia" w:ascii="仿宋_GB2312" w:hAnsi="仿宋_GB2312" w:eastAsia="仿宋_GB2312" w:cs="仿宋_GB2312"/>
          <w:spacing w:val="-9"/>
          <w:sz w:val="32"/>
          <w:szCs w:val="32"/>
          <w:highlight w:val="none"/>
        </w:rPr>
        <w:t>和</w:t>
      </w:r>
      <w:r>
        <w:rPr>
          <w:rFonts w:hint="eastAsia" w:ascii="仿宋_GB2312" w:hAnsi="仿宋_GB2312" w:eastAsia="仿宋_GB2312" w:cs="仿宋_GB2312"/>
          <w:spacing w:val="-9"/>
          <w:sz w:val="32"/>
          <w:szCs w:val="32"/>
          <w:highlight w:val="none"/>
          <w:lang w:eastAsia="zh-CN"/>
        </w:rPr>
        <w:t>&lt;</w:t>
      </w:r>
      <w:r>
        <w:rPr>
          <w:rFonts w:hint="eastAsia" w:ascii="仿宋_GB2312" w:hAnsi="仿宋_GB2312" w:eastAsia="仿宋_GB2312" w:cs="仿宋_GB2312"/>
          <w:spacing w:val="-9"/>
          <w:sz w:val="32"/>
          <w:szCs w:val="32"/>
          <w:highlight w:val="none"/>
        </w:rPr>
        <w:t>长期护理保险护理服务管理规范</w:t>
      </w:r>
      <w:r>
        <w:rPr>
          <w:rFonts w:hint="eastAsia" w:ascii="仿宋_GB2312" w:hAnsi="仿宋_GB2312" w:eastAsia="仿宋_GB2312" w:cs="仿宋_GB2312"/>
          <w:spacing w:val="-9"/>
          <w:sz w:val="32"/>
          <w:szCs w:val="32"/>
          <w:highlight w:val="none"/>
          <w:lang w:eastAsia="zh-CN"/>
        </w:rPr>
        <w:t>&gt;</w:t>
      </w:r>
      <w:r>
        <w:rPr>
          <w:rFonts w:hint="eastAsia" w:ascii="仿宋_GB2312" w:hAnsi="仿宋_GB2312" w:eastAsia="仿宋_GB2312" w:cs="仿宋_GB2312"/>
          <w:spacing w:val="-9"/>
          <w:sz w:val="32"/>
          <w:szCs w:val="32"/>
          <w:highlight w:val="none"/>
        </w:rPr>
        <w:t>的通知</w:t>
      </w:r>
      <w:r>
        <w:rPr>
          <w:rFonts w:hint="eastAsia" w:ascii="仿宋_GB2312" w:hAnsi="仿宋_GB2312" w:eastAsia="仿宋_GB2312" w:cs="仿宋_GB2312"/>
          <w:spacing w:val="-9"/>
          <w:sz w:val="32"/>
          <w:szCs w:val="32"/>
          <w:highlight w:val="none"/>
          <w:lang w:eastAsia="zh-CN"/>
        </w:rPr>
        <w:t>》</w:t>
      </w:r>
      <w:r>
        <w:rPr>
          <w:rFonts w:hint="eastAsia" w:ascii="仿宋_GB2312" w:hAnsi="仿宋_GB2312" w:eastAsia="仿宋_GB2312" w:cs="仿宋_GB2312"/>
          <w:spacing w:val="-9"/>
          <w:sz w:val="32"/>
          <w:szCs w:val="32"/>
          <w:highlight w:val="none"/>
          <w:lang w:val="en-US" w:eastAsia="zh-CN"/>
        </w:rPr>
        <w:t>等有关规定，结合我市</w:t>
      </w:r>
      <w:r>
        <w:rPr>
          <w:rFonts w:hint="eastAsia" w:ascii="仿宋_GB2312" w:hAnsi="仿宋_GB2312" w:eastAsia="仿宋_GB2312" w:cs="仿宋_GB2312"/>
          <w:color w:val="auto"/>
          <w:kern w:val="2"/>
          <w:sz w:val="32"/>
          <w:szCs w:val="32"/>
          <w:highlight w:val="none"/>
          <w:lang w:val="en-US" w:eastAsia="zh-CN" w:bidi="ar-SA"/>
        </w:rPr>
        <w:t>实际，制定本实施细则。</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50" w:lineRule="exact"/>
        <w:ind w:leftChars="200" w:firstLine="320" w:firstLineChars="100"/>
        <w:jc w:val="both"/>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一、总体目标</w:t>
      </w:r>
    </w:p>
    <w:p>
      <w:pPr>
        <w:keepNext w:val="0"/>
        <w:keepLines w:val="0"/>
        <w:pageBreakBefore w:val="0"/>
        <w:kinsoku/>
        <w:wordWrap/>
        <w:topLinePunct w:val="0"/>
        <w:bidi w:val="0"/>
        <w:snapToGrid/>
        <w:spacing w:line="550" w:lineRule="exact"/>
        <w:ind w:firstLine="640" w:firstLineChars="200"/>
        <w:textAlignment w:val="auto"/>
        <w:rPr>
          <w:rFonts w:hint="default"/>
          <w:color w:val="auto"/>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规范和完善我市基本医疗保障定点护理机构协议管理工作，遵循公平公正、合理布局、择优纳入等原则，构建优质的医疗保障长期护理保险体系。</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50" w:lineRule="exact"/>
        <w:ind w:leftChars="200" w:firstLine="320" w:firstLineChars="100"/>
        <w:jc w:val="both"/>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二、责任分工</w:t>
      </w:r>
    </w:p>
    <w:p>
      <w:pPr>
        <w:pStyle w:val="7"/>
        <w:keepNext w:val="0"/>
        <w:keepLines w:val="0"/>
        <w:pageBreakBefore w:val="0"/>
        <w:widowControl w:val="0"/>
        <w:numPr>
          <w:ilvl w:val="0"/>
          <w:numId w:val="0"/>
        </w:numPr>
        <w:kinsoku/>
        <w:wordWrap/>
        <w:overflowPunct/>
        <w:topLinePunct w:val="0"/>
        <w:autoSpaceDE/>
        <w:autoSpaceDN/>
        <w:bidi w:val="0"/>
        <w:adjustRightInd/>
        <w:snapToGrid/>
        <w:spacing w:after="0" w:line="550" w:lineRule="exact"/>
        <w:ind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医疗保障行政部门负责长期护理机构定点管理政策制定，在定点申请、专业评估、协商谈判、协议订立、协议履行、协议解除等环节对医疗保障经办机构（以下简称“经办机构”）、定点护理机构进行监督。经办机构负责确定定点护理机构，并与定点护理机构签订长期护理保险定点服务协议（以下简称“服务协议”），提供经办服务，开展护理服务协议管理、考核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50" w:lineRule="exact"/>
        <w:ind w:left="0" w:leftChars="0" w:right="0" w:firstLine="635"/>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按照“统一管理、分级负责”的原则，市医疗保障行政部门负责全市护理机构定点确定的监督指导工作，各县（市、区）医疗保障行政部门协助做好辖区范围内护理机构定点确定的监督指导工作。市级经办机构负责对各县（市、区）经办机构进行业务指导；各县（市、区）经办机构按相关职责，根据“属地管理”的原则，由护理机构相关证照发放地做好各自辖区定点护理机构确定的相关工作。原有存量</w:t>
      </w:r>
      <w:r>
        <w:rPr>
          <w:rFonts w:hint="default" w:ascii="仿宋_GB2312" w:hAnsi="仿宋_GB2312" w:eastAsia="仿宋_GB2312" w:cs="仿宋_GB2312"/>
          <w:color w:val="auto"/>
          <w:kern w:val="2"/>
          <w:sz w:val="32"/>
          <w:szCs w:val="32"/>
          <w:highlight w:val="none"/>
          <w:lang w:eastAsia="zh-CN" w:bidi="ar-SA"/>
        </w:rPr>
        <w:t>机构</w:t>
      </w:r>
      <w:r>
        <w:rPr>
          <w:rFonts w:hint="eastAsia" w:ascii="仿宋_GB2312" w:hAnsi="仿宋_GB2312" w:eastAsia="仿宋_GB2312" w:cs="仿宋_GB2312"/>
          <w:color w:val="auto"/>
          <w:kern w:val="2"/>
          <w:sz w:val="32"/>
          <w:szCs w:val="32"/>
          <w:highlight w:val="none"/>
          <w:lang w:val="en-US" w:eastAsia="zh-CN" w:bidi="ar-SA"/>
        </w:rPr>
        <w:t>管理作相应调整。</w:t>
      </w:r>
    </w:p>
    <w:p>
      <w:pPr>
        <w:pStyle w:val="7"/>
        <w:keepNext w:val="0"/>
        <w:keepLines w:val="0"/>
        <w:pageBreakBefore w:val="0"/>
        <w:widowControl w:val="0"/>
        <w:kinsoku/>
        <w:wordWrap/>
        <w:overflowPunct/>
        <w:topLinePunct w:val="0"/>
        <w:autoSpaceDE/>
        <w:autoSpaceDN/>
        <w:bidi w:val="0"/>
        <w:adjustRightInd/>
        <w:snapToGrid/>
        <w:spacing w:after="0" w:line="550" w:lineRule="exact"/>
        <w:ind w:left="0" w:leftChars="0" w:firstLine="640" w:firstLineChars="200"/>
        <w:jc w:val="both"/>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三、布局规划</w:t>
      </w:r>
    </w:p>
    <w:p>
      <w:pPr>
        <w:pStyle w:val="7"/>
        <w:keepNext w:val="0"/>
        <w:keepLines w:val="0"/>
        <w:pageBreakBefore w:val="0"/>
        <w:widowControl w:val="0"/>
        <w:kinsoku/>
        <w:wordWrap/>
        <w:overflowPunct/>
        <w:topLinePunct w:val="0"/>
        <w:autoSpaceDE/>
        <w:autoSpaceDN/>
        <w:bidi w:val="0"/>
        <w:adjustRightInd/>
        <w:snapToGrid/>
        <w:spacing w:after="0" w:line="55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定点护理机构协议管理应坚持总量控制、合理布局的原则。各县（市、区）医疗保障行政部门应根据公众健康需求、医保基金收支、参保人群数量、业务经办能力等实际情况，合理制定本年度新增定点护理机构规划。年度规划应包含上年度定点护理机构管理情况、辖区内定点护理机构分布情况及本年度新增定点护理机构计划等内容，应着重对本辖区内偏远乡镇、街道的定点护理机构分布情况进行摸底，根据人口分布特点和长期护理服务需求均衡配置护理定点机构。</w:t>
      </w:r>
    </w:p>
    <w:p>
      <w:pPr>
        <w:keepNext w:val="0"/>
        <w:keepLines w:val="0"/>
        <w:pageBreakBefore w:val="0"/>
        <w:kinsoku/>
        <w:wordWrap/>
        <w:topLinePunct w:val="0"/>
        <w:bidi w:val="0"/>
        <w:snapToGrid/>
        <w:spacing w:line="550" w:lineRule="exact"/>
        <w:ind w:firstLine="640" w:firstLineChars="200"/>
        <w:textAlignment w:val="auto"/>
        <w:rPr>
          <w:rFonts w:hint="eastAsia"/>
          <w:highlight w:val="none"/>
          <w:lang w:val="en-US" w:eastAsia="zh-CN"/>
        </w:rPr>
      </w:pPr>
      <w:r>
        <w:rPr>
          <w:rFonts w:hint="eastAsia" w:ascii="仿宋_GB2312" w:hAnsi="仿宋_GB2312" w:eastAsia="仿宋_GB2312" w:cs="仿宋_GB2312"/>
          <w:smallCaps w:val="0"/>
          <w:spacing w:val="0"/>
          <w:sz w:val="32"/>
          <w:szCs w:val="32"/>
          <w:highlight w:val="none"/>
          <w:lang w:val="en-US" w:eastAsia="zh-CN"/>
        </w:rPr>
        <w:t>列入政府工作报告或政府投资项目（重大建设项目）的招商引资项目，县（市、区）提交的招商引资材料经属地政府或市投促局确认后，符合条件的可不受年度规划数量限制。</w:t>
      </w:r>
    </w:p>
    <w:p>
      <w:pPr>
        <w:pStyle w:val="7"/>
        <w:keepNext w:val="0"/>
        <w:keepLines w:val="0"/>
        <w:pageBreakBefore w:val="0"/>
        <w:widowControl w:val="0"/>
        <w:numPr>
          <w:ilvl w:val="0"/>
          <w:numId w:val="2"/>
        </w:numPr>
        <w:kinsoku/>
        <w:wordWrap/>
        <w:overflowPunct/>
        <w:topLinePunct w:val="0"/>
        <w:autoSpaceDE w:val="0"/>
        <w:autoSpaceDN w:val="0"/>
        <w:bidi w:val="0"/>
        <w:adjustRightInd w:val="0"/>
        <w:snapToGrid/>
        <w:spacing w:after="0" w:line="550" w:lineRule="exact"/>
        <w:ind w:firstLine="640" w:firstLineChars="200"/>
        <w:jc w:val="both"/>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申请条件</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after="0" w:line="550" w:lineRule="exact"/>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color w:val="auto"/>
          <w:kern w:val="2"/>
          <w:sz w:val="32"/>
          <w:szCs w:val="32"/>
          <w:highlight w:val="none"/>
          <w:lang w:val="en-US" w:eastAsia="zh-CN" w:bidi="ar-SA"/>
        </w:rPr>
        <w:t>（一）申请范围</w:t>
      </w:r>
    </w:p>
    <w:p>
      <w:pPr>
        <w:keepNext w:val="0"/>
        <w:keepLines w:val="0"/>
        <w:pageBreakBefore w:val="0"/>
        <w:kinsoku/>
        <w:wordWrap/>
        <w:topLinePunct w:val="0"/>
        <w:bidi w:val="0"/>
        <w:snapToGrid/>
        <w:spacing w:line="550" w:lineRule="exact"/>
        <w:ind w:firstLine="640" w:firstLineChars="200"/>
        <w:textAlignment w:val="auto"/>
        <w:rPr>
          <w:rFonts w:hint="eastAsia" w:ascii="仿宋_GB2312" w:hAnsi="仿宋_GB2312" w:eastAsia="仿宋_GB2312" w:cs="仿宋_GB2312"/>
          <w:color w:val="auto"/>
          <w:spacing w:val="3"/>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本细则</w:t>
      </w:r>
      <w:r>
        <w:rPr>
          <w:rFonts w:hint="eastAsia" w:ascii="仿宋_GB2312" w:hAnsi="仿宋_GB2312" w:eastAsia="仿宋_GB2312" w:cs="仿宋_GB2312"/>
          <w:color w:val="auto"/>
          <w:spacing w:val="16"/>
          <w:sz w:val="32"/>
          <w:szCs w:val="32"/>
          <w:highlight w:val="none"/>
        </w:rPr>
        <w:t>所指</w:t>
      </w:r>
      <w:r>
        <w:rPr>
          <w:rFonts w:hint="eastAsia" w:ascii="仿宋_GB2312" w:hAnsi="仿宋_GB2312" w:eastAsia="仿宋_GB2312" w:cs="仿宋_GB2312"/>
          <w:color w:val="auto"/>
          <w:spacing w:val="16"/>
          <w:sz w:val="32"/>
          <w:szCs w:val="32"/>
          <w:highlight w:val="none"/>
          <w:lang w:eastAsia="zh-CN"/>
        </w:rPr>
        <w:t>护理</w:t>
      </w:r>
      <w:r>
        <w:rPr>
          <w:rFonts w:hint="eastAsia" w:ascii="仿宋_GB2312" w:hAnsi="仿宋_GB2312" w:eastAsia="仿宋_GB2312" w:cs="仿宋_GB2312"/>
          <w:color w:val="auto"/>
          <w:spacing w:val="16"/>
          <w:sz w:val="32"/>
          <w:szCs w:val="32"/>
          <w:highlight w:val="none"/>
        </w:rPr>
        <w:t>机构是指</w:t>
      </w:r>
      <w:r>
        <w:rPr>
          <w:rFonts w:hint="eastAsia" w:ascii="仿宋_GB2312" w:hAnsi="仿宋_GB2312" w:eastAsia="仿宋_GB2312" w:cs="仿宋_GB2312"/>
          <w:color w:val="auto"/>
          <w:spacing w:val="16"/>
          <w:sz w:val="32"/>
          <w:szCs w:val="32"/>
          <w:highlight w:val="none"/>
          <w:lang w:val="en-US" w:eastAsia="zh-CN"/>
        </w:rPr>
        <w:t>全日</w:t>
      </w:r>
      <w:r>
        <w:rPr>
          <w:rFonts w:hint="eastAsia" w:ascii="仿宋_GB2312" w:hAnsi="仿宋_GB2312" w:eastAsia="仿宋_GB2312" w:cs="仿宋_GB2312"/>
          <w:color w:val="auto"/>
          <w:spacing w:val="16"/>
          <w:sz w:val="32"/>
          <w:szCs w:val="32"/>
          <w:highlight w:val="none"/>
        </w:rPr>
        <w:t>入住类护理机</w:t>
      </w:r>
      <w:r>
        <w:rPr>
          <w:rFonts w:hint="eastAsia" w:ascii="仿宋_GB2312" w:hAnsi="仿宋_GB2312" w:eastAsia="仿宋_GB2312" w:cs="仿宋_GB2312"/>
          <w:color w:val="auto"/>
          <w:spacing w:val="10"/>
          <w:sz w:val="32"/>
          <w:szCs w:val="32"/>
          <w:highlight w:val="none"/>
        </w:rPr>
        <w:t>构、</w:t>
      </w:r>
      <w:r>
        <w:rPr>
          <w:rFonts w:hint="eastAsia" w:ascii="仿宋_GB2312" w:hAnsi="仿宋_GB2312" w:eastAsia="仿宋_GB2312" w:cs="仿宋_GB2312"/>
          <w:color w:val="auto"/>
          <w:spacing w:val="8"/>
          <w:sz w:val="32"/>
          <w:szCs w:val="32"/>
          <w:highlight w:val="none"/>
        </w:rPr>
        <w:t>居</w:t>
      </w:r>
      <w:r>
        <w:rPr>
          <w:rFonts w:hint="eastAsia" w:ascii="仿宋_GB2312" w:hAnsi="仿宋_GB2312" w:eastAsia="仿宋_GB2312" w:cs="仿宋_GB2312"/>
          <w:color w:val="auto"/>
          <w:spacing w:val="5"/>
          <w:sz w:val="32"/>
          <w:szCs w:val="32"/>
          <w:highlight w:val="none"/>
        </w:rPr>
        <w:t>家上门类护理机构</w:t>
      </w:r>
      <w:r>
        <w:rPr>
          <w:rFonts w:hint="eastAsia" w:ascii="仿宋_GB2312" w:hAnsi="仿宋_GB2312" w:eastAsia="仿宋_GB2312" w:cs="仿宋_GB2312"/>
          <w:color w:val="auto"/>
          <w:spacing w:val="2"/>
          <w:sz w:val="32"/>
          <w:szCs w:val="32"/>
          <w:highlight w:val="none"/>
        </w:rPr>
        <w:t>。</w:t>
      </w:r>
      <w:r>
        <w:rPr>
          <w:rFonts w:hint="eastAsia" w:ascii="仿宋_GB2312" w:hAnsi="仿宋_GB2312" w:eastAsia="仿宋_GB2312" w:cs="仿宋_GB2312"/>
          <w:color w:val="auto"/>
          <w:kern w:val="0"/>
          <w:sz w:val="32"/>
          <w:szCs w:val="32"/>
          <w:highlight w:val="none"/>
          <w:lang w:val="en-US" w:eastAsia="zh-CN"/>
        </w:rPr>
        <w:t>医疗机构、养老机构、残疾人托养服务机构</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pacing w:val="3"/>
          <w:sz w:val="32"/>
          <w:szCs w:val="32"/>
          <w:highlight w:val="none"/>
        </w:rPr>
        <w:t>申请时</w:t>
      </w:r>
      <w:r>
        <w:rPr>
          <w:rFonts w:hint="eastAsia" w:ascii="仿宋_GB2312" w:hAnsi="仿宋_GB2312" w:eastAsia="仿宋_GB2312" w:cs="仿宋_GB2312"/>
          <w:color w:val="auto"/>
          <w:spacing w:val="3"/>
          <w:sz w:val="32"/>
          <w:szCs w:val="32"/>
          <w:highlight w:val="none"/>
          <w:lang w:eastAsia="zh-CN"/>
        </w:rPr>
        <w:t>需</w:t>
      </w:r>
      <w:r>
        <w:rPr>
          <w:rFonts w:hint="eastAsia" w:ascii="仿宋_GB2312" w:hAnsi="仿宋_GB2312" w:eastAsia="仿宋_GB2312" w:cs="仿宋_GB2312"/>
          <w:color w:val="auto"/>
          <w:spacing w:val="3"/>
          <w:sz w:val="32"/>
          <w:szCs w:val="32"/>
          <w:highlight w:val="none"/>
        </w:rPr>
        <w:t>选择</w:t>
      </w:r>
      <w:r>
        <w:rPr>
          <w:rFonts w:hint="eastAsia" w:ascii="仿宋_GB2312" w:hAnsi="仿宋_GB2312" w:eastAsia="仿宋_GB2312" w:cs="仿宋_GB2312"/>
          <w:color w:val="auto"/>
          <w:spacing w:val="3"/>
          <w:sz w:val="32"/>
          <w:szCs w:val="32"/>
          <w:highlight w:val="none"/>
          <w:lang w:val="en-US" w:eastAsia="zh-CN"/>
        </w:rPr>
        <w:t>全日</w:t>
      </w:r>
      <w:r>
        <w:rPr>
          <w:rFonts w:hint="eastAsia" w:ascii="仿宋_GB2312" w:hAnsi="仿宋_GB2312" w:eastAsia="仿宋_GB2312" w:cs="仿宋_GB2312"/>
          <w:color w:val="auto"/>
          <w:spacing w:val="16"/>
          <w:sz w:val="32"/>
          <w:szCs w:val="32"/>
          <w:highlight w:val="none"/>
        </w:rPr>
        <w:t>入住</w:t>
      </w:r>
      <w:r>
        <w:rPr>
          <w:rFonts w:hint="eastAsia" w:ascii="仿宋_GB2312" w:hAnsi="仿宋_GB2312" w:eastAsia="仿宋_GB2312" w:cs="仿宋_GB2312"/>
          <w:color w:val="auto"/>
          <w:spacing w:val="16"/>
          <w:sz w:val="32"/>
          <w:szCs w:val="32"/>
          <w:highlight w:val="none"/>
          <w:lang w:val="en-US" w:eastAsia="zh-CN"/>
        </w:rPr>
        <w:t>类</w:t>
      </w:r>
      <w:r>
        <w:rPr>
          <w:rFonts w:hint="eastAsia" w:ascii="仿宋_GB2312" w:hAnsi="仿宋_GB2312" w:eastAsia="仿宋_GB2312" w:cs="仿宋_GB2312"/>
          <w:color w:val="auto"/>
          <w:spacing w:val="16"/>
          <w:sz w:val="32"/>
          <w:szCs w:val="32"/>
          <w:highlight w:val="none"/>
        </w:rPr>
        <w:t>护理</w:t>
      </w:r>
      <w:r>
        <w:rPr>
          <w:rFonts w:hint="eastAsia" w:ascii="仿宋_GB2312" w:hAnsi="仿宋_GB2312" w:eastAsia="仿宋_GB2312" w:cs="仿宋_GB2312"/>
          <w:color w:val="auto"/>
          <w:spacing w:val="3"/>
          <w:sz w:val="32"/>
          <w:szCs w:val="32"/>
          <w:highlight w:val="none"/>
        </w:rPr>
        <w:t>或居家</w:t>
      </w:r>
      <w:r>
        <w:rPr>
          <w:rFonts w:hint="eastAsia" w:ascii="仿宋_GB2312" w:hAnsi="仿宋_GB2312" w:eastAsia="仿宋_GB2312" w:cs="仿宋_GB2312"/>
          <w:color w:val="auto"/>
          <w:spacing w:val="3"/>
          <w:sz w:val="32"/>
          <w:szCs w:val="32"/>
          <w:highlight w:val="none"/>
          <w:lang w:val="en-US" w:eastAsia="zh-CN"/>
        </w:rPr>
        <w:t>上门类</w:t>
      </w:r>
      <w:r>
        <w:rPr>
          <w:rFonts w:hint="eastAsia" w:ascii="仿宋_GB2312" w:hAnsi="仿宋_GB2312" w:eastAsia="仿宋_GB2312" w:cs="仿宋_GB2312"/>
          <w:color w:val="auto"/>
          <w:spacing w:val="3"/>
          <w:sz w:val="32"/>
          <w:szCs w:val="32"/>
          <w:highlight w:val="none"/>
        </w:rPr>
        <w:t>护理</w:t>
      </w:r>
      <w:r>
        <w:rPr>
          <w:rFonts w:hint="eastAsia" w:ascii="仿宋_GB2312" w:hAnsi="仿宋_GB2312" w:eastAsia="仿宋_GB2312" w:cs="仿宋_GB2312"/>
          <w:color w:val="auto"/>
          <w:spacing w:val="3"/>
          <w:sz w:val="32"/>
          <w:szCs w:val="32"/>
          <w:highlight w:val="none"/>
          <w:lang w:val="en-US" w:eastAsia="zh-CN"/>
        </w:rPr>
        <w:t>的服务形式以确定定点护理服务机构类型。其他符合长期护理服务条件的企业或社会组织仅可选择居家上门类护理服务</w:t>
      </w:r>
      <w:r>
        <w:rPr>
          <w:rFonts w:hint="eastAsia" w:ascii="仿宋_GB2312" w:hAnsi="仿宋_GB2312" w:eastAsia="仿宋_GB2312" w:cs="仿宋_GB2312"/>
          <w:color w:val="auto"/>
          <w:spacing w:val="3"/>
          <w:sz w:val="32"/>
          <w:szCs w:val="32"/>
          <w:highlight w:val="none"/>
          <w:lang w:eastAsia="zh-CN"/>
        </w:rPr>
        <w:t>。申请签订长期护理服务协议的机构应同时具备以下条件：</w:t>
      </w:r>
    </w:p>
    <w:p>
      <w:pPr>
        <w:keepNext w:val="0"/>
        <w:keepLines w:val="0"/>
        <w:pageBreakBefore w:val="0"/>
        <w:kinsoku/>
        <w:wordWrap/>
        <w:topLinePunct w:val="0"/>
        <w:bidi w:val="0"/>
        <w:snapToGrid/>
        <w:spacing w:line="550" w:lineRule="exact"/>
        <w:ind w:firstLine="652" w:firstLineChars="200"/>
        <w:textAlignment w:val="auto"/>
        <w:rPr>
          <w:rFonts w:hint="default"/>
          <w:highlight w:val="none"/>
          <w:lang w:val="en-US" w:eastAsia="zh-CN"/>
        </w:rPr>
      </w:pPr>
      <w:r>
        <w:rPr>
          <w:rFonts w:hint="eastAsia" w:ascii="仿宋_GB2312" w:hAnsi="仿宋_GB2312" w:eastAsia="仿宋_GB2312" w:cs="仿宋_GB2312"/>
          <w:color w:val="auto"/>
          <w:spacing w:val="3"/>
          <w:sz w:val="32"/>
          <w:szCs w:val="32"/>
          <w:highlight w:val="none"/>
          <w:lang w:val="en-US" w:eastAsia="zh-CN"/>
        </w:rPr>
        <w:t>1.基础条件：</w:t>
      </w:r>
    </w:p>
    <w:p>
      <w:pPr>
        <w:keepNext w:val="0"/>
        <w:keepLines w:val="0"/>
        <w:pageBreakBefore w:val="0"/>
        <w:numPr>
          <w:ilvl w:val="-1"/>
          <w:numId w:val="0"/>
        </w:numPr>
        <w:kinsoku/>
        <w:wordWrap/>
        <w:topLinePunct w:val="0"/>
        <w:bidi w:val="0"/>
        <w:snapToGrid/>
        <w:spacing w:line="55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依法成立，具有独立法人资</w:t>
      </w:r>
      <w:r>
        <w:rPr>
          <w:rFonts w:hint="eastAsia" w:ascii="仿宋_GB2312" w:hAnsi="仿宋_GB2312" w:eastAsia="仿宋_GB2312" w:cs="仿宋_GB2312"/>
          <w:color w:val="auto"/>
          <w:kern w:val="0"/>
          <w:sz w:val="32"/>
          <w:szCs w:val="32"/>
          <w:highlight w:val="none"/>
          <w:lang w:val="en-US" w:eastAsia="zh-CN"/>
        </w:rPr>
        <w:t>质；</w:t>
      </w:r>
    </w:p>
    <w:p>
      <w:pPr>
        <w:keepNext w:val="0"/>
        <w:keepLines w:val="0"/>
        <w:pageBreakBefore w:val="0"/>
        <w:numPr>
          <w:ilvl w:val="-1"/>
          <w:numId w:val="0"/>
        </w:numPr>
        <w:kinsoku/>
        <w:wordWrap/>
        <w:topLinePunct w:val="0"/>
        <w:bidi w:val="0"/>
        <w:snapToGrid/>
        <w:spacing w:line="55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2</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有固定的营业场所，且业务用房的使用期限不少于3年；</w:t>
      </w:r>
    </w:p>
    <w:p>
      <w:pPr>
        <w:keepNext w:val="0"/>
        <w:keepLines w:val="0"/>
        <w:pageBreakBefore w:val="0"/>
        <w:numPr>
          <w:ilvl w:val="-1"/>
          <w:numId w:val="0"/>
        </w:numPr>
        <w:kinsoku/>
        <w:wordWrap/>
        <w:topLinePunct w:val="0"/>
        <w:bidi w:val="0"/>
        <w:snapToGrid/>
        <w:spacing w:line="550" w:lineRule="exact"/>
        <w:ind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具备相关经营许可，并在</w:t>
      </w:r>
      <w:r>
        <w:rPr>
          <w:rFonts w:hint="eastAsia" w:ascii="仿宋_GB2312" w:hAnsi="仿宋_GB2312" w:eastAsia="仿宋_GB2312" w:cs="仿宋_GB2312"/>
          <w:b w:val="0"/>
          <w:bCs w:val="0"/>
          <w:color w:val="auto"/>
          <w:kern w:val="0"/>
          <w:sz w:val="32"/>
          <w:szCs w:val="32"/>
          <w:highlight w:val="none"/>
        </w:rPr>
        <w:t>取得相关经营许可</w:t>
      </w:r>
      <w:r>
        <w:rPr>
          <w:rFonts w:hint="eastAsia" w:ascii="仿宋_GB2312" w:hAnsi="仿宋_GB2312" w:eastAsia="仿宋_GB2312" w:cs="仿宋_GB2312"/>
          <w:color w:val="auto"/>
          <w:kern w:val="0"/>
          <w:sz w:val="32"/>
          <w:szCs w:val="32"/>
          <w:highlight w:val="none"/>
        </w:rPr>
        <w:t>后，</w:t>
      </w:r>
      <w:r>
        <w:rPr>
          <w:rFonts w:hint="eastAsia" w:ascii="仿宋_GB2312" w:hAnsi="仿宋_GB2312" w:eastAsia="仿宋_GB2312" w:cs="仿宋_GB2312"/>
          <w:color w:val="auto"/>
          <w:kern w:val="0"/>
          <w:sz w:val="32"/>
          <w:szCs w:val="32"/>
          <w:highlight w:val="none"/>
          <w:lang w:val="en-US" w:eastAsia="zh-CN"/>
        </w:rPr>
        <w:t>在现营业场所</w:t>
      </w:r>
      <w:r>
        <w:rPr>
          <w:rFonts w:hint="eastAsia" w:ascii="仿宋_GB2312" w:hAnsi="仿宋_GB2312" w:eastAsia="仿宋_GB2312" w:cs="仿宋_GB2312"/>
          <w:color w:val="auto"/>
          <w:kern w:val="0"/>
          <w:sz w:val="32"/>
          <w:szCs w:val="32"/>
          <w:highlight w:val="none"/>
        </w:rPr>
        <w:t>正式营业3个月以上</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numPr>
          <w:ilvl w:val="-1"/>
          <w:numId w:val="0"/>
        </w:numPr>
        <w:kinsoku/>
        <w:wordWrap/>
        <w:topLinePunct w:val="0"/>
        <w:bidi w:val="0"/>
        <w:snapToGrid/>
        <w:spacing w:line="55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（4）能开展护理服务，为长期失能人员提供基本生活照料和与基本生活密切相关的医疗护理服务；</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配</w:t>
      </w:r>
      <w:r>
        <w:rPr>
          <w:rFonts w:hint="eastAsia" w:ascii="仿宋_GB2312" w:hAnsi="仿宋_GB2312" w:eastAsia="仿宋_GB2312" w:cs="仿宋_GB2312"/>
          <w:color w:val="auto"/>
          <w:kern w:val="0"/>
          <w:sz w:val="32"/>
          <w:szCs w:val="32"/>
          <w:highlight w:val="none"/>
          <w:lang w:eastAsia="zh-CN"/>
        </w:rPr>
        <w:t>备</w:t>
      </w:r>
      <w:r>
        <w:rPr>
          <w:rFonts w:hint="eastAsia" w:ascii="仿宋_GB2312" w:hAnsi="仿宋_GB2312" w:eastAsia="仿宋_GB2312" w:cs="仿宋_GB2312"/>
          <w:color w:val="auto"/>
          <w:kern w:val="0"/>
          <w:sz w:val="32"/>
          <w:szCs w:val="32"/>
          <w:highlight w:val="none"/>
        </w:rPr>
        <w:t>符合本市长护险联网结算要求的计算机管理系统</w:t>
      </w:r>
      <w:r>
        <w:rPr>
          <w:rFonts w:hint="eastAsia" w:ascii="仿宋_GB2312" w:hAnsi="仿宋_GB2312" w:eastAsia="仿宋_GB2312" w:cs="仿宋_GB2312"/>
          <w:color w:val="auto"/>
          <w:kern w:val="0"/>
          <w:sz w:val="32"/>
          <w:szCs w:val="32"/>
          <w:highlight w:val="none"/>
          <w:lang w:val="en-US"/>
        </w:rPr>
        <w:t>，</w:t>
      </w:r>
      <w:r>
        <w:rPr>
          <w:rFonts w:hint="eastAsia" w:ascii="仿宋_GB2312" w:hAnsi="仿宋_GB2312" w:eastAsia="仿宋_GB2312" w:cs="仿宋_GB2312"/>
          <w:color w:val="auto"/>
          <w:kern w:val="0"/>
          <w:sz w:val="32"/>
          <w:szCs w:val="32"/>
          <w:highlight w:val="none"/>
        </w:rPr>
        <w:t>并有相应的管理和操作人员；</w:t>
      </w:r>
      <w:r>
        <w:rPr>
          <w:rFonts w:hint="eastAsia" w:ascii="仿宋_GB2312" w:hAnsi="仿宋_GB2312" w:eastAsia="仿宋_GB2312" w:cs="仿宋_GB2312"/>
          <w:color w:val="auto"/>
          <w:kern w:val="0"/>
          <w:sz w:val="32"/>
          <w:szCs w:val="32"/>
          <w:highlight w:val="none"/>
          <w:lang w:val="en-US" w:eastAsia="zh-CN"/>
        </w:rPr>
        <w:t>财务管理、信息系统建设应符合长期护理保险结算管理需求，配备相应的专业技术人员；</w:t>
      </w:r>
    </w:p>
    <w:p>
      <w:pPr>
        <w:pStyle w:val="7"/>
        <w:keepNext w:val="0"/>
        <w:keepLines w:val="0"/>
        <w:pageBreakBefore w:val="0"/>
        <w:widowControl w:val="0"/>
        <w:kinsoku/>
        <w:wordWrap/>
        <w:overflowPunct/>
        <w:topLinePunct w:val="0"/>
        <w:autoSpaceDE w:val="0"/>
        <w:autoSpaceDN w:val="0"/>
        <w:bidi w:val="0"/>
        <w:adjustRightInd w:val="0"/>
        <w:snapToGrid/>
        <w:spacing w:after="0" w:line="550" w:lineRule="exact"/>
        <w:ind w:left="0" w:leftChars="0" w:firstLine="640" w:firstLineChars="200"/>
        <w:jc w:val="both"/>
        <w:textAlignment w:val="auto"/>
        <w:rPr>
          <w:rFonts w:hint="eastAsia" w:ascii="仿宋_GB2312" w:hAnsi="仿宋_GB2312" w:eastAsia="仿宋_GB2312" w:cs="仿宋_GB2312"/>
          <w:color w:val="auto"/>
          <w:spacing w:val="3"/>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（6）护理服务管理：</w:t>
      </w:r>
      <w:r>
        <w:rPr>
          <w:rFonts w:hint="eastAsia" w:ascii="仿宋_GB2312" w:hAnsi="仿宋_GB2312" w:eastAsia="仿宋_GB2312" w:cs="仿宋_GB2312"/>
          <w:color w:val="auto"/>
          <w:spacing w:val="9"/>
          <w:sz w:val="32"/>
          <w:szCs w:val="32"/>
          <w:highlight w:val="none"/>
        </w:rPr>
        <w:t>定点护理机构应根据长期失能人员需求，制定护理计划，提供必要的、适宜适度的护理服务</w:t>
      </w:r>
      <w:r>
        <w:rPr>
          <w:rFonts w:hint="eastAsia" w:ascii="仿宋_GB2312" w:hAnsi="仿宋_GB2312" w:eastAsia="仿宋_GB2312" w:cs="仿宋_GB2312"/>
          <w:color w:val="auto"/>
          <w:kern w:val="2"/>
          <w:sz w:val="32"/>
          <w:szCs w:val="32"/>
          <w:highlight w:val="none"/>
          <w:lang w:val="en-US" w:eastAsia="zh-CN" w:bidi="ar-SA"/>
        </w:rPr>
        <w:t>项目；</w:t>
      </w:r>
    </w:p>
    <w:p>
      <w:pPr>
        <w:pStyle w:val="7"/>
        <w:keepNext w:val="0"/>
        <w:keepLines w:val="0"/>
        <w:pageBreakBefore w:val="0"/>
        <w:numPr>
          <w:ilvl w:val="0"/>
          <w:numId w:val="0"/>
        </w:numPr>
        <w:kinsoku/>
        <w:wordWrap/>
        <w:topLinePunct w:val="0"/>
        <w:bidi w:val="0"/>
        <w:snapToGrid/>
        <w:spacing w:line="550" w:lineRule="exact"/>
        <w:ind w:firstLine="640" w:firstLineChars="200"/>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（7）符合《</w:t>
      </w:r>
      <w:r>
        <w:rPr>
          <w:rFonts w:hint="eastAsia" w:ascii="仿宋_GB2312" w:hAnsi="仿宋_GB2312" w:eastAsia="仿宋_GB2312" w:cs="仿宋_GB2312"/>
          <w:color w:val="auto"/>
          <w:sz w:val="32"/>
          <w:szCs w:val="32"/>
          <w:highlight w:val="none"/>
          <w:lang w:val="en-US" w:eastAsia="zh-CN"/>
        </w:rPr>
        <w:t>温州市长期护理保险全日入住类定点护理机构评估表》或《温州市长期护理保险居家上门类定点护理机构评估表</w:t>
      </w:r>
      <w:r>
        <w:rPr>
          <w:rFonts w:hint="eastAsia" w:ascii="仿宋_GB2312" w:hAnsi="仿宋_GB2312" w:eastAsia="仿宋_GB2312" w:cs="仿宋_GB2312"/>
          <w:color w:val="auto"/>
          <w:kern w:val="2"/>
          <w:sz w:val="32"/>
          <w:szCs w:val="32"/>
          <w:highlight w:val="none"/>
          <w:lang w:val="en-US" w:eastAsia="zh-CN" w:bidi="ar-SA"/>
        </w:rPr>
        <w:t>》（以下简称《评估表》详见附件3，4）中各项基础指标的要求，同时自评达到120分；</w:t>
      </w:r>
    </w:p>
    <w:p>
      <w:pPr>
        <w:keepNext w:val="0"/>
        <w:keepLines w:val="0"/>
        <w:pageBreakBefore w:val="0"/>
        <w:numPr>
          <w:ilvl w:val="-1"/>
          <w:numId w:val="0"/>
        </w:numPr>
        <w:kinsoku/>
        <w:wordWrap/>
        <w:topLinePunct w:val="0"/>
        <w:bidi w:val="0"/>
        <w:snapToGrid/>
        <w:spacing w:line="55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（8）符合法律法规和省级及以上医疗保障行政部门规定的其他条件。</w:t>
      </w:r>
    </w:p>
    <w:p>
      <w:pPr>
        <w:keepNext w:val="0"/>
        <w:keepLines w:val="0"/>
        <w:pageBreakBefore w:val="0"/>
        <w:widowControl w:val="0"/>
        <w:numPr>
          <w:ilvl w:val="-1"/>
          <w:numId w:val="0"/>
        </w:numPr>
        <w:kinsoku/>
        <w:wordWrap/>
        <w:overflowPunct/>
        <w:topLinePunct w:val="0"/>
        <w:autoSpaceDE/>
        <w:autoSpaceDN/>
        <w:bidi w:val="0"/>
        <w:adjustRightInd/>
        <w:snapToGrid/>
        <w:spacing w:line="550" w:lineRule="exact"/>
        <w:ind w:leftChars="0" w:firstLine="640" w:firstLineChars="200"/>
        <w:textAlignment w:val="auto"/>
        <w:rPr>
          <w:rFonts w:hint="eastAsia" w:ascii="仿宋_GB2312" w:hAnsi="仿宋_GB2312" w:eastAsia="仿宋_GB2312" w:cs="仿宋_GB2312"/>
          <w:color w:val="auto"/>
          <w:spacing w:val="8"/>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2.可开展长期护理服务的医疗机构（医院、护理院等）、养老机构（残疾</w:t>
      </w:r>
      <w:r>
        <w:rPr>
          <w:rFonts w:hint="eastAsia" w:ascii="仿宋_GB2312" w:hAnsi="仿宋_GB2312" w:eastAsia="仿宋_GB2312" w:cs="仿宋_GB2312"/>
          <w:color w:val="auto"/>
          <w:spacing w:val="8"/>
          <w:sz w:val="32"/>
          <w:szCs w:val="32"/>
          <w:highlight w:val="none"/>
        </w:rPr>
        <w:t>人托养</w:t>
      </w:r>
      <w:r>
        <w:rPr>
          <w:rFonts w:hint="eastAsia" w:ascii="仿宋_GB2312" w:hAnsi="仿宋_GB2312" w:eastAsia="仿宋_GB2312" w:cs="仿宋_GB2312"/>
          <w:color w:val="auto"/>
          <w:spacing w:val="8"/>
          <w:sz w:val="32"/>
          <w:szCs w:val="32"/>
          <w:highlight w:val="none"/>
          <w:lang w:val="en-US" w:eastAsia="zh-CN"/>
        </w:rPr>
        <w:t>机构</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spacing w:val="8"/>
          <w:sz w:val="32"/>
          <w:szCs w:val="32"/>
          <w:highlight w:val="none"/>
          <w:lang w:val="en-US" w:eastAsia="zh-CN"/>
        </w:rPr>
        <w:t>等全日入住类</w:t>
      </w:r>
      <w:r>
        <w:rPr>
          <w:rFonts w:hint="eastAsia" w:ascii="仿宋_GB2312" w:hAnsi="仿宋_GB2312" w:eastAsia="仿宋_GB2312" w:cs="仿宋_GB2312"/>
          <w:color w:val="auto"/>
          <w:spacing w:val="8"/>
          <w:sz w:val="32"/>
          <w:szCs w:val="32"/>
          <w:highlight w:val="none"/>
        </w:rPr>
        <w:t>服务机构</w:t>
      </w:r>
      <w:r>
        <w:rPr>
          <w:rFonts w:hint="eastAsia" w:ascii="仿宋_GB2312" w:hAnsi="仿宋_GB2312" w:eastAsia="仿宋_GB2312" w:cs="仿宋_GB2312"/>
          <w:color w:val="auto"/>
          <w:spacing w:val="8"/>
          <w:sz w:val="32"/>
          <w:szCs w:val="32"/>
          <w:highlight w:val="none"/>
          <w:lang w:eastAsia="zh-CN"/>
        </w:rPr>
        <w:t>需同时具备以下条件：</w:t>
      </w:r>
    </w:p>
    <w:p>
      <w:pPr>
        <w:keepNext w:val="0"/>
        <w:keepLines w:val="0"/>
        <w:pageBreakBefore w:val="0"/>
        <w:kinsoku/>
        <w:wordWrap/>
        <w:topLinePunct w:val="0"/>
        <w:bidi w:val="0"/>
        <w:snapToGrid/>
        <w:spacing w:line="550" w:lineRule="exact"/>
        <w:ind w:firstLine="640" w:firstLineChars="200"/>
        <w:textAlignment w:val="auto"/>
        <w:rPr>
          <w:rFonts w:hint="eastAsia" w:ascii="仿宋_GB2312" w:hAnsi="仿宋_GB2312" w:eastAsia="仿宋_GB2312" w:cs="仿宋_GB2312"/>
          <w:color w:val="auto"/>
          <w:spacing w:val="9"/>
          <w:sz w:val="32"/>
          <w:szCs w:val="32"/>
          <w:highlight w:val="none"/>
        </w:rPr>
      </w:pPr>
      <w:r>
        <w:rPr>
          <w:rFonts w:hint="eastAsia" w:ascii="仿宋_GB2312" w:hAnsi="仿宋_GB2312" w:eastAsia="仿宋_GB2312" w:cs="仿宋_GB2312"/>
          <w:color w:val="auto"/>
          <w:kern w:val="0"/>
          <w:sz w:val="32"/>
          <w:szCs w:val="32"/>
          <w:highlight w:val="none"/>
          <w:lang w:val="en-US" w:eastAsia="zh-CN"/>
        </w:rPr>
        <w:t>（1）应</w:t>
      </w:r>
      <w:r>
        <w:rPr>
          <w:rFonts w:hint="eastAsia" w:ascii="仿宋_GB2312" w:hAnsi="仿宋_GB2312" w:eastAsia="仿宋_GB2312" w:cs="仿宋_GB2312"/>
          <w:color w:val="auto"/>
          <w:spacing w:val="9"/>
          <w:sz w:val="32"/>
          <w:szCs w:val="32"/>
          <w:highlight w:val="none"/>
        </w:rPr>
        <w:t>按现行护理院病区标准</w:t>
      </w:r>
      <w:r>
        <w:rPr>
          <w:rFonts w:hint="eastAsia" w:ascii="仿宋_GB2312" w:hAnsi="仿宋_GB2312" w:eastAsia="仿宋_GB2312" w:cs="仿宋_GB2312"/>
          <w:color w:val="auto"/>
          <w:kern w:val="0"/>
          <w:sz w:val="32"/>
          <w:szCs w:val="32"/>
          <w:highlight w:val="none"/>
          <w:lang w:val="en-US" w:eastAsia="zh-CN"/>
        </w:rPr>
        <w:t>在相对独立、标志明显的区域设立长期护理服务专区并配备服务</w:t>
      </w:r>
      <w:r>
        <w:rPr>
          <w:rFonts w:hint="eastAsia" w:ascii="仿宋_GB2312" w:hAnsi="仿宋_GB2312" w:eastAsia="仿宋_GB2312" w:cs="仿宋_GB2312"/>
          <w:color w:val="auto"/>
          <w:spacing w:val="9"/>
          <w:sz w:val="32"/>
          <w:szCs w:val="32"/>
          <w:highlight w:val="none"/>
        </w:rPr>
        <w:t>设备设施</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spacing w:val="5"/>
          <w:sz w:val="32"/>
          <w:szCs w:val="32"/>
          <w:highlight w:val="none"/>
        </w:rPr>
        <w:t>总床位数不足60张的，可在相对</w:t>
      </w:r>
      <w:r>
        <w:rPr>
          <w:rFonts w:hint="eastAsia" w:ascii="仿宋_GB2312" w:hAnsi="仿宋_GB2312" w:eastAsia="仿宋_GB2312" w:cs="仿宋_GB2312"/>
          <w:color w:val="auto"/>
          <w:spacing w:val="2"/>
          <w:sz w:val="32"/>
          <w:szCs w:val="32"/>
          <w:highlight w:val="none"/>
        </w:rPr>
        <w:t>独</w:t>
      </w:r>
      <w:r>
        <w:rPr>
          <w:rFonts w:hint="eastAsia" w:ascii="仿宋_GB2312" w:hAnsi="仿宋_GB2312" w:eastAsia="仿宋_GB2312" w:cs="仿宋_GB2312"/>
          <w:color w:val="auto"/>
          <w:spacing w:val="9"/>
          <w:sz w:val="32"/>
          <w:szCs w:val="32"/>
          <w:highlight w:val="none"/>
        </w:rPr>
        <w:t>立区域设置长期护理病房，并设立明显标志</w:t>
      </w:r>
      <w:r>
        <w:rPr>
          <w:rFonts w:hint="eastAsia" w:ascii="仿宋_GB2312" w:hAnsi="仿宋_GB2312" w:eastAsia="仿宋_GB2312" w:cs="仿宋_GB2312"/>
          <w:color w:val="auto"/>
          <w:spacing w:val="9"/>
          <w:sz w:val="32"/>
          <w:szCs w:val="32"/>
          <w:highlight w:val="none"/>
          <w:lang w:eastAsia="zh-CN"/>
        </w:rPr>
        <w:t>；</w:t>
      </w:r>
    </w:p>
    <w:p>
      <w:pPr>
        <w:keepNext w:val="0"/>
        <w:keepLines w:val="0"/>
        <w:pageBreakBefore w:val="0"/>
        <w:numPr>
          <w:ilvl w:val="0"/>
          <w:numId w:val="0"/>
        </w:numPr>
        <w:kinsoku/>
        <w:wordWrap/>
        <w:topLinePunct w:val="0"/>
        <w:bidi w:val="0"/>
        <w:snapToGrid/>
        <w:spacing w:line="550" w:lineRule="exact"/>
        <w:ind w:firstLine="672" w:firstLineChars="200"/>
        <w:textAlignment w:val="auto"/>
        <w:rPr>
          <w:rFonts w:hint="default" w:ascii="仿宋_GB2312" w:hAnsi="仿宋_GB2312" w:eastAsia="仿宋_GB2312" w:cs="仿宋_GB2312"/>
          <w:color w:val="auto"/>
          <w:spacing w:val="2"/>
          <w:sz w:val="32"/>
          <w:szCs w:val="32"/>
          <w:highlight w:val="none"/>
          <w:lang w:val="en-US"/>
        </w:rPr>
      </w:pPr>
      <w:r>
        <w:rPr>
          <w:rFonts w:hint="eastAsia" w:ascii="仿宋_GB2312" w:hAnsi="仿宋_GB2312" w:eastAsia="仿宋_GB2312" w:cs="仿宋_GB2312"/>
          <w:color w:val="auto"/>
          <w:spacing w:val="8"/>
          <w:sz w:val="32"/>
          <w:szCs w:val="32"/>
          <w:highlight w:val="none"/>
          <w:lang w:val="en-US" w:eastAsia="zh-CN"/>
        </w:rPr>
        <w:t>（2）应配备与长期护理服务</w:t>
      </w:r>
      <w:r>
        <w:rPr>
          <w:rFonts w:hint="eastAsia" w:ascii="仿宋_GB2312" w:hAnsi="仿宋_GB2312" w:eastAsia="仿宋_GB2312" w:cs="仿宋_GB2312"/>
          <w:color w:val="auto"/>
          <w:spacing w:val="5"/>
          <w:sz w:val="32"/>
          <w:szCs w:val="32"/>
          <w:highlight w:val="none"/>
        </w:rPr>
        <w:t>相适应的医护人员</w:t>
      </w:r>
      <w:r>
        <w:rPr>
          <w:rFonts w:hint="eastAsia" w:ascii="仿宋_GB2312" w:hAnsi="仿宋_GB2312" w:eastAsia="仿宋_GB2312" w:cs="仿宋_GB2312"/>
          <w:color w:val="auto"/>
          <w:spacing w:val="5"/>
          <w:sz w:val="32"/>
          <w:szCs w:val="32"/>
          <w:highlight w:val="none"/>
          <w:lang w:eastAsia="zh-CN"/>
        </w:rPr>
        <w:t>，</w:t>
      </w:r>
      <w:r>
        <w:rPr>
          <w:rFonts w:hint="eastAsia" w:ascii="仿宋_GB2312" w:hAnsi="仿宋_GB2312" w:eastAsia="仿宋_GB2312" w:cs="仿宋_GB2312"/>
          <w:color w:val="auto"/>
          <w:spacing w:val="9"/>
          <w:sz w:val="32"/>
          <w:szCs w:val="32"/>
          <w:highlight w:val="none"/>
        </w:rPr>
        <w:t>或与医疗卫生机构开展与长期护理保险护理服务相适</w:t>
      </w:r>
      <w:r>
        <w:rPr>
          <w:rFonts w:hint="eastAsia" w:ascii="仿宋_GB2312" w:hAnsi="仿宋_GB2312" w:eastAsia="仿宋_GB2312" w:cs="仿宋_GB2312"/>
          <w:color w:val="auto"/>
          <w:spacing w:val="7"/>
          <w:sz w:val="32"/>
          <w:szCs w:val="32"/>
          <w:highlight w:val="none"/>
        </w:rPr>
        <w:t>应的协议合作。</w:t>
      </w:r>
      <w:r>
        <w:rPr>
          <w:rFonts w:hint="eastAsia" w:ascii="仿宋_GB2312" w:hAnsi="仿宋_GB2312" w:eastAsia="仿宋_GB2312" w:cs="仿宋_GB2312"/>
          <w:color w:val="auto"/>
          <w:spacing w:val="1"/>
          <w:sz w:val="32"/>
          <w:szCs w:val="32"/>
          <w:highlight w:val="none"/>
        </w:rPr>
        <w:t>长期护理服务专区应按与重度失能人员配比不低于1 :3</w:t>
      </w:r>
      <w:r>
        <w:rPr>
          <w:rFonts w:hint="eastAsia" w:ascii="仿宋_GB2312" w:hAnsi="仿宋_GB2312" w:eastAsia="仿宋_GB2312" w:cs="仿宋_GB2312"/>
          <w:color w:val="auto"/>
          <w:spacing w:val="5"/>
          <w:sz w:val="32"/>
          <w:szCs w:val="32"/>
          <w:highlight w:val="none"/>
          <w:lang w:eastAsia="zh-CN"/>
        </w:rPr>
        <w:t>、</w:t>
      </w:r>
      <w:r>
        <w:rPr>
          <w:rFonts w:hint="eastAsia" w:ascii="仿宋_GB2312" w:hAnsi="仿宋_GB2312" w:eastAsia="仿宋_GB2312" w:cs="仿宋_GB2312"/>
          <w:color w:val="auto"/>
          <w:spacing w:val="9"/>
          <w:sz w:val="32"/>
          <w:szCs w:val="32"/>
          <w:highlight w:val="none"/>
        </w:rPr>
        <w:t>与护理床位</w:t>
      </w:r>
      <w:r>
        <w:rPr>
          <w:rFonts w:hint="eastAsia" w:ascii="仿宋_GB2312" w:hAnsi="仿宋_GB2312" w:eastAsia="仿宋_GB2312" w:cs="仿宋_GB2312"/>
          <w:color w:val="auto"/>
          <w:spacing w:val="3"/>
          <w:sz w:val="32"/>
          <w:szCs w:val="32"/>
          <w:highlight w:val="none"/>
        </w:rPr>
        <w:t>配</w:t>
      </w:r>
      <w:r>
        <w:rPr>
          <w:rFonts w:hint="eastAsia" w:ascii="仿宋_GB2312" w:hAnsi="仿宋_GB2312" w:eastAsia="仿宋_GB2312" w:cs="仿宋_GB2312"/>
          <w:color w:val="auto"/>
          <w:spacing w:val="2"/>
          <w:sz w:val="32"/>
          <w:szCs w:val="32"/>
          <w:highlight w:val="none"/>
        </w:rPr>
        <w:t>比不低于1：3.5</w:t>
      </w:r>
      <w:r>
        <w:rPr>
          <w:rFonts w:hint="eastAsia" w:ascii="仿宋_GB2312" w:hAnsi="仿宋_GB2312" w:eastAsia="仿宋_GB2312" w:cs="仿宋_GB2312"/>
          <w:color w:val="auto"/>
          <w:spacing w:val="2"/>
          <w:sz w:val="32"/>
          <w:szCs w:val="32"/>
          <w:highlight w:val="none"/>
          <w:lang w:eastAsia="zh-CN"/>
        </w:rPr>
        <w:t>的要求配备</w:t>
      </w:r>
      <w:r>
        <w:rPr>
          <w:rFonts w:hint="eastAsia" w:ascii="仿宋_GB2312" w:hAnsi="仿宋_GB2312" w:eastAsia="仿宋_GB2312" w:cs="仿宋_GB2312"/>
          <w:color w:val="auto"/>
          <w:spacing w:val="5"/>
          <w:sz w:val="32"/>
          <w:szCs w:val="32"/>
          <w:highlight w:val="none"/>
        </w:rPr>
        <w:t>专业护理职业资质的人员或其他符合长期护</w:t>
      </w:r>
      <w:r>
        <w:rPr>
          <w:rFonts w:hint="eastAsia" w:ascii="仿宋_GB2312" w:hAnsi="仿宋_GB2312" w:eastAsia="仿宋_GB2312" w:cs="仿宋_GB2312"/>
          <w:color w:val="auto"/>
          <w:spacing w:val="3"/>
          <w:sz w:val="32"/>
          <w:szCs w:val="32"/>
          <w:highlight w:val="none"/>
        </w:rPr>
        <w:t>理</w:t>
      </w:r>
      <w:r>
        <w:rPr>
          <w:rFonts w:hint="eastAsia" w:ascii="仿宋_GB2312" w:hAnsi="仿宋_GB2312" w:eastAsia="仿宋_GB2312" w:cs="仿宋_GB2312"/>
          <w:color w:val="auto"/>
          <w:sz w:val="32"/>
          <w:szCs w:val="32"/>
          <w:highlight w:val="none"/>
        </w:rPr>
        <w:t>要</w:t>
      </w:r>
      <w:r>
        <w:rPr>
          <w:rFonts w:hint="eastAsia" w:ascii="仿宋_GB2312" w:hAnsi="仿宋_GB2312" w:eastAsia="仿宋_GB2312" w:cs="仿宋_GB2312"/>
          <w:color w:val="auto"/>
          <w:spacing w:val="7"/>
          <w:sz w:val="32"/>
          <w:szCs w:val="32"/>
          <w:highlight w:val="none"/>
        </w:rPr>
        <w:t>求</w:t>
      </w:r>
      <w:r>
        <w:rPr>
          <w:rFonts w:hint="eastAsia" w:ascii="仿宋_GB2312" w:hAnsi="仿宋_GB2312" w:eastAsia="仿宋_GB2312" w:cs="仿宋_GB2312"/>
          <w:color w:val="auto"/>
          <w:spacing w:val="5"/>
          <w:sz w:val="32"/>
          <w:szCs w:val="32"/>
          <w:highlight w:val="none"/>
        </w:rPr>
        <w:t>的人员</w:t>
      </w:r>
      <w:r>
        <w:rPr>
          <w:rFonts w:hint="eastAsia" w:ascii="仿宋_GB2312" w:hAnsi="仿宋_GB2312" w:eastAsia="仿宋_GB2312" w:cs="仿宋_GB2312"/>
          <w:color w:val="auto"/>
          <w:spacing w:val="5"/>
          <w:sz w:val="32"/>
          <w:szCs w:val="32"/>
          <w:highlight w:val="none"/>
          <w:lang w:eastAsia="zh-CN"/>
        </w:rPr>
        <w:t>；</w:t>
      </w:r>
    </w:p>
    <w:p>
      <w:pPr>
        <w:keepNext w:val="0"/>
        <w:keepLines w:val="0"/>
        <w:pageBreakBefore w:val="0"/>
        <w:widowControl w:val="0"/>
        <w:kinsoku/>
        <w:wordWrap/>
        <w:overflowPunct/>
        <w:topLinePunct w:val="0"/>
        <w:bidi w:val="0"/>
        <w:snapToGrid/>
        <w:spacing w:line="550" w:lineRule="exact"/>
        <w:ind w:left="0" w:leftChars="0" w:firstLine="640" w:firstLineChars="200"/>
        <w:textAlignment w:val="auto"/>
        <w:outlineLvl w:val="3"/>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（3）服务场所、设备设施、人员配置、机构设置、承办能力应与其申请提供的服务相匹配。</w:t>
      </w:r>
    </w:p>
    <w:p>
      <w:pPr>
        <w:keepNext w:val="0"/>
        <w:keepLines w:val="0"/>
        <w:pageBreakBefore w:val="0"/>
        <w:widowControl w:val="0"/>
        <w:kinsoku/>
        <w:wordWrap/>
        <w:overflowPunct/>
        <w:topLinePunct w:val="0"/>
        <w:bidi w:val="0"/>
        <w:snapToGrid/>
        <w:spacing w:line="550" w:lineRule="exact"/>
        <w:ind w:left="0" w:leftChars="0" w:firstLine="640" w:firstLineChars="200"/>
        <w:textAlignment w:val="auto"/>
        <w:outlineLvl w:val="3"/>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3.申请居家上门类医疗机构（乡镇卫生院、社区卫生服务中心、护理站等）及其他企业或社会组织需同时具备以下条件：</w:t>
      </w:r>
    </w:p>
    <w:p>
      <w:pPr>
        <w:keepNext w:val="0"/>
        <w:keepLines w:val="0"/>
        <w:pageBreakBefore w:val="0"/>
        <w:widowControl w:val="0"/>
        <w:kinsoku/>
        <w:wordWrap/>
        <w:overflowPunct/>
        <w:topLinePunct w:val="0"/>
        <w:bidi w:val="0"/>
        <w:snapToGrid/>
        <w:spacing w:line="550" w:lineRule="exact"/>
        <w:ind w:left="0" w:leftChars="0" w:firstLine="640" w:firstLineChars="200"/>
        <w:textAlignment w:val="auto"/>
        <w:outlineLvl w:val="3"/>
        <w:rPr>
          <w:rFonts w:hint="eastAsia" w:ascii="仿宋_GB2312" w:hAnsi="仿宋_GB2312" w:eastAsia="仿宋_GB2312" w:cs="仿宋_GB2312"/>
          <w:color w:val="auto"/>
          <w:spacing w:val="8"/>
          <w:sz w:val="32"/>
          <w:szCs w:val="32"/>
          <w:highlight w:val="none"/>
        </w:rPr>
      </w:pPr>
      <w:r>
        <w:rPr>
          <w:rFonts w:hint="eastAsia" w:ascii="仿宋_GB2312" w:hAnsi="仿宋_GB2312" w:eastAsia="仿宋_GB2312" w:cs="仿宋_GB2312"/>
          <w:color w:val="auto"/>
          <w:sz w:val="32"/>
          <w:szCs w:val="32"/>
          <w:highlight w:val="none"/>
          <w:lang w:val="en-US" w:eastAsia="zh-CN"/>
        </w:rPr>
        <w:t>（1）需配备</w:t>
      </w:r>
      <w:r>
        <w:rPr>
          <w:rFonts w:hint="eastAsia" w:ascii="仿宋_GB2312" w:hAnsi="仿宋_GB2312" w:eastAsia="仿宋_GB2312" w:cs="仿宋_GB2312"/>
          <w:color w:val="auto"/>
          <w:spacing w:val="8"/>
          <w:sz w:val="32"/>
          <w:szCs w:val="32"/>
          <w:highlight w:val="none"/>
        </w:rPr>
        <w:t>长期护理上门服务的固定管理用房和服务技能培训场所。</w:t>
      </w:r>
    </w:p>
    <w:p>
      <w:pPr>
        <w:keepNext w:val="0"/>
        <w:keepLines w:val="0"/>
        <w:pageBreakBefore w:val="0"/>
        <w:widowControl/>
        <w:numPr>
          <w:ilvl w:val="0"/>
          <w:numId w:val="0"/>
        </w:numPr>
        <w:kinsoku/>
        <w:wordWrap/>
        <w:overflowPunct/>
        <w:topLinePunct w:val="0"/>
        <w:bidi w:val="0"/>
        <w:snapToGrid/>
        <w:spacing w:line="550" w:lineRule="exact"/>
        <w:ind w:left="0" w:leftChars="0" w:firstLine="676" w:firstLineChars="200"/>
        <w:textAlignment w:val="auto"/>
        <w:outlineLvl w:val="9"/>
        <w:rPr>
          <w:rFonts w:hint="eastAsia" w:ascii="仿宋_GB2312" w:hAnsi="仿宋_GB2312" w:eastAsia="仿宋_GB2312" w:cs="仿宋_GB2312"/>
          <w:color w:val="auto"/>
          <w:spacing w:val="-3"/>
          <w:sz w:val="32"/>
          <w:szCs w:val="32"/>
          <w:highlight w:val="none"/>
        </w:rPr>
      </w:pPr>
      <w:r>
        <w:rPr>
          <w:rFonts w:hint="eastAsia" w:ascii="仿宋_GB2312" w:hAnsi="仿宋_GB2312" w:eastAsia="仿宋_GB2312" w:cs="仿宋_GB2312"/>
          <w:color w:val="auto"/>
          <w:spacing w:val="9"/>
          <w:sz w:val="32"/>
          <w:szCs w:val="32"/>
          <w:highlight w:val="none"/>
          <w:lang w:eastAsia="zh-CN"/>
        </w:rPr>
        <w:t>（</w:t>
      </w:r>
      <w:r>
        <w:rPr>
          <w:rFonts w:hint="eastAsia" w:ascii="仿宋_GB2312" w:hAnsi="仿宋_GB2312" w:eastAsia="仿宋_GB2312" w:cs="仿宋_GB2312"/>
          <w:color w:val="auto"/>
          <w:spacing w:val="9"/>
          <w:sz w:val="32"/>
          <w:szCs w:val="32"/>
          <w:highlight w:val="none"/>
          <w:lang w:val="en-US" w:eastAsia="zh-CN"/>
        </w:rPr>
        <w:t>2</w:t>
      </w:r>
      <w:r>
        <w:rPr>
          <w:rFonts w:hint="eastAsia" w:ascii="仿宋_GB2312" w:hAnsi="仿宋_GB2312" w:eastAsia="仿宋_GB2312" w:cs="仿宋_GB2312"/>
          <w:color w:val="auto"/>
          <w:spacing w:val="9"/>
          <w:sz w:val="32"/>
          <w:szCs w:val="32"/>
          <w:highlight w:val="none"/>
          <w:lang w:eastAsia="zh-CN"/>
        </w:rPr>
        <w:t>）</w:t>
      </w:r>
      <w:r>
        <w:rPr>
          <w:rFonts w:hint="eastAsia" w:ascii="仿宋_GB2312" w:hAnsi="仿宋_GB2312" w:eastAsia="仿宋_GB2312" w:cs="仿宋_GB2312"/>
          <w:color w:val="auto"/>
          <w:spacing w:val="9"/>
          <w:sz w:val="32"/>
          <w:szCs w:val="32"/>
          <w:highlight w:val="none"/>
        </w:rPr>
        <w:t>长期护理服务人员数量、承办能力应与其申请提供的服务相匹配，配备的护理服务人员应不少</w:t>
      </w:r>
      <w:r>
        <w:rPr>
          <w:rFonts w:hint="eastAsia" w:ascii="仿宋_GB2312" w:hAnsi="仿宋_GB2312" w:eastAsia="仿宋_GB2312" w:cs="仿宋_GB2312"/>
          <w:color w:val="auto"/>
          <w:spacing w:val="-6"/>
          <w:sz w:val="32"/>
          <w:szCs w:val="32"/>
          <w:highlight w:val="none"/>
        </w:rPr>
        <w:t>于</w:t>
      </w:r>
      <w:r>
        <w:rPr>
          <w:rFonts w:hint="eastAsia" w:ascii="仿宋_GB2312" w:hAnsi="仿宋_GB2312" w:eastAsia="仿宋_GB2312" w:cs="仿宋_GB2312"/>
          <w:color w:val="auto"/>
          <w:spacing w:val="-4"/>
          <w:sz w:val="32"/>
          <w:szCs w:val="32"/>
          <w:highlight w:val="none"/>
        </w:rPr>
        <w:t xml:space="preserve"> </w:t>
      </w:r>
      <w:r>
        <w:rPr>
          <w:rFonts w:hint="eastAsia" w:ascii="仿宋_GB2312" w:hAnsi="仿宋_GB2312" w:eastAsia="仿宋_GB2312" w:cs="仿宋_GB2312"/>
          <w:color w:val="auto"/>
          <w:spacing w:val="-3"/>
          <w:sz w:val="32"/>
          <w:szCs w:val="32"/>
          <w:highlight w:val="none"/>
        </w:rPr>
        <w:t>10 人。</w:t>
      </w:r>
    </w:p>
    <w:p>
      <w:pPr>
        <w:keepNext w:val="0"/>
        <w:keepLines w:val="0"/>
        <w:pageBreakBefore w:val="0"/>
        <w:widowControl/>
        <w:numPr>
          <w:ilvl w:val="0"/>
          <w:numId w:val="0"/>
        </w:numPr>
        <w:kinsoku/>
        <w:wordWrap/>
        <w:topLinePunct w:val="0"/>
        <w:bidi w:val="0"/>
        <w:snapToGrid/>
        <w:spacing w:line="550" w:lineRule="exact"/>
        <w:ind w:firstLine="676"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pacing w:val="9"/>
          <w:sz w:val="32"/>
          <w:szCs w:val="32"/>
          <w:highlight w:val="none"/>
          <w:lang w:eastAsia="zh-CN"/>
        </w:rPr>
        <w:t>（</w:t>
      </w:r>
      <w:r>
        <w:rPr>
          <w:rFonts w:hint="eastAsia" w:ascii="仿宋_GB2312" w:hAnsi="仿宋_GB2312" w:eastAsia="仿宋_GB2312" w:cs="仿宋_GB2312"/>
          <w:color w:val="auto"/>
          <w:spacing w:val="9"/>
          <w:sz w:val="32"/>
          <w:szCs w:val="32"/>
          <w:highlight w:val="none"/>
          <w:lang w:val="en-US" w:eastAsia="zh-CN"/>
        </w:rPr>
        <w:t>3</w:t>
      </w:r>
      <w:r>
        <w:rPr>
          <w:rFonts w:hint="eastAsia" w:ascii="仿宋_GB2312" w:hAnsi="仿宋_GB2312" w:eastAsia="仿宋_GB2312" w:cs="仿宋_GB2312"/>
          <w:color w:val="auto"/>
          <w:spacing w:val="9"/>
          <w:sz w:val="32"/>
          <w:szCs w:val="32"/>
          <w:highlight w:val="none"/>
          <w:lang w:eastAsia="zh-CN"/>
        </w:rPr>
        <w:t>）</w:t>
      </w:r>
      <w:r>
        <w:rPr>
          <w:rFonts w:hint="eastAsia" w:ascii="仿宋_GB2312" w:hAnsi="仿宋_GB2312" w:eastAsia="仿宋_GB2312" w:cs="仿宋_GB2312"/>
          <w:color w:val="auto"/>
          <w:spacing w:val="9"/>
          <w:sz w:val="32"/>
          <w:szCs w:val="32"/>
          <w:highlight w:val="none"/>
        </w:rPr>
        <w:t>提供上门护理服务的</w:t>
      </w:r>
      <w:r>
        <w:rPr>
          <w:rFonts w:hint="eastAsia" w:ascii="仿宋_GB2312" w:hAnsi="仿宋_GB2312" w:eastAsia="仿宋_GB2312" w:cs="仿宋_GB2312"/>
          <w:color w:val="auto"/>
          <w:sz w:val="32"/>
          <w:szCs w:val="32"/>
          <w:highlight w:val="none"/>
          <w:lang w:val="en-US" w:eastAsia="zh-CN"/>
        </w:rPr>
        <w:t>其他企业或社会组织</w:t>
      </w:r>
      <w:r>
        <w:rPr>
          <w:rFonts w:hint="eastAsia" w:ascii="仿宋_GB2312" w:hAnsi="仿宋_GB2312" w:eastAsia="仿宋_GB2312" w:cs="仿宋_GB2312"/>
          <w:color w:val="auto"/>
          <w:spacing w:val="9"/>
          <w:sz w:val="32"/>
          <w:szCs w:val="32"/>
          <w:highlight w:val="none"/>
        </w:rPr>
        <w:t>，应自主聘用或与医疗卫生机构开展协议合作，建立相应的医护力量，医</w:t>
      </w:r>
      <w:r>
        <w:rPr>
          <w:rFonts w:hint="eastAsia" w:ascii="仿宋_GB2312" w:hAnsi="仿宋_GB2312" w:eastAsia="仿宋_GB2312" w:cs="仿宋_GB2312"/>
          <w:color w:val="auto"/>
          <w:spacing w:val="4"/>
          <w:sz w:val="32"/>
          <w:szCs w:val="32"/>
          <w:highlight w:val="none"/>
        </w:rPr>
        <w:t>生</w:t>
      </w:r>
      <w:r>
        <w:rPr>
          <w:rFonts w:hint="eastAsia" w:ascii="仿宋_GB2312" w:hAnsi="仿宋_GB2312" w:eastAsia="仿宋_GB2312" w:cs="仿宋_GB2312"/>
          <w:color w:val="auto"/>
          <w:spacing w:val="4"/>
          <w:sz w:val="32"/>
          <w:szCs w:val="32"/>
          <w:highlight w:val="none"/>
          <w:lang w:eastAsia="zh-CN"/>
        </w:rPr>
        <w:t>或</w:t>
      </w:r>
      <w:r>
        <w:rPr>
          <w:rFonts w:hint="eastAsia" w:ascii="仿宋_GB2312" w:hAnsi="仿宋_GB2312" w:eastAsia="仿宋_GB2312" w:cs="仿宋_GB2312"/>
          <w:color w:val="auto"/>
          <w:spacing w:val="4"/>
          <w:sz w:val="32"/>
          <w:szCs w:val="32"/>
          <w:highlight w:val="none"/>
        </w:rPr>
        <w:t>护士</w:t>
      </w:r>
      <w:r>
        <w:rPr>
          <w:rFonts w:hint="eastAsia" w:ascii="仿宋_GB2312" w:hAnsi="仿宋_GB2312" w:eastAsia="仿宋_GB2312" w:cs="仿宋_GB2312"/>
          <w:color w:val="auto"/>
          <w:spacing w:val="4"/>
          <w:sz w:val="32"/>
          <w:szCs w:val="32"/>
          <w:highlight w:val="none"/>
          <w:lang w:eastAsia="zh-CN"/>
        </w:rPr>
        <w:t>至少</w:t>
      </w:r>
      <w:r>
        <w:rPr>
          <w:rFonts w:hint="eastAsia" w:ascii="仿宋_GB2312" w:hAnsi="仿宋_GB2312" w:eastAsia="仿宋_GB2312" w:cs="仿宋_GB2312"/>
          <w:color w:val="auto"/>
          <w:spacing w:val="4"/>
          <w:sz w:val="32"/>
          <w:szCs w:val="32"/>
          <w:highlight w:val="none"/>
          <w:lang w:val="en-US" w:eastAsia="zh-CN"/>
        </w:rPr>
        <w:t>1</w:t>
      </w:r>
      <w:r>
        <w:rPr>
          <w:rFonts w:hint="eastAsia" w:ascii="仿宋_GB2312" w:hAnsi="仿宋_GB2312" w:eastAsia="仿宋_GB2312" w:cs="仿宋_GB2312"/>
          <w:color w:val="auto"/>
          <w:spacing w:val="2"/>
          <w:sz w:val="32"/>
          <w:szCs w:val="32"/>
          <w:highlight w:val="none"/>
        </w:rPr>
        <w:t>名；其中医生专业类别应为全科、内科、中医科或康复科，能提供医疗指导服务</w:t>
      </w:r>
      <w:r>
        <w:rPr>
          <w:rFonts w:hint="eastAsia" w:ascii="仿宋_GB2312" w:hAnsi="仿宋_GB2312" w:eastAsia="仿宋_GB2312" w:cs="仿宋_GB2312"/>
          <w:color w:val="auto"/>
          <w:spacing w:val="2"/>
          <w:sz w:val="32"/>
          <w:szCs w:val="32"/>
          <w:highlight w:val="none"/>
          <w:lang w:eastAsia="zh-CN"/>
        </w:rPr>
        <w:t>。</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after="0" w:line="550" w:lineRule="exact"/>
        <w:ind w:firstLine="640" w:firstLineChars="200"/>
        <w:jc w:val="both"/>
        <w:textAlignment w:val="auto"/>
        <w:rPr>
          <w:rFonts w:hint="eastAsia" w:ascii="楷体_GB2312" w:hAnsi="楷体_GB2312" w:eastAsia="楷体_GB2312" w:cs="楷体_GB2312"/>
          <w:color w:val="auto"/>
          <w:kern w:val="2"/>
          <w:sz w:val="32"/>
          <w:szCs w:val="32"/>
          <w:highlight w:val="none"/>
          <w:lang w:val="en-US" w:eastAsia="zh-CN" w:bidi="ar-SA"/>
        </w:rPr>
      </w:pPr>
      <w:r>
        <w:rPr>
          <w:rFonts w:hint="eastAsia" w:ascii="楷体_GB2312" w:hAnsi="楷体_GB2312" w:eastAsia="楷体_GB2312" w:cs="楷体_GB2312"/>
          <w:color w:val="auto"/>
          <w:kern w:val="2"/>
          <w:sz w:val="32"/>
          <w:szCs w:val="32"/>
          <w:highlight w:val="none"/>
          <w:lang w:val="en-US" w:eastAsia="zh-CN" w:bidi="ar-SA"/>
        </w:rPr>
        <w:t>（二）申请材料</w:t>
      </w:r>
    </w:p>
    <w:p>
      <w:pPr>
        <w:pStyle w:val="7"/>
        <w:keepNext w:val="0"/>
        <w:keepLines w:val="0"/>
        <w:pageBreakBefore w:val="0"/>
        <w:widowControl w:val="0"/>
        <w:kinsoku/>
        <w:wordWrap/>
        <w:overflowPunct/>
        <w:topLinePunct w:val="0"/>
        <w:autoSpaceDE/>
        <w:autoSpaceDN/>
        <w:bidi w:val="0"/>
        <w:adjustRightInd/>
        <w:snapToGrid/>
        <w:spacing w:after="0" w:line="55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护理服务</w:t>
      </w:r>
      <w:r>
        <w:rPr>
          <w:rFonts w:hint="eastAsia" w:ascii="仿宋_GB2312" w:hAnsi="仿宋_GB2312" w:eastAsia="仿宋_GB2312" w:cs="仿宋_GB2312"/>
          <w:color w:val="auto"/>
          <w:kern w:val="2"/>
          <w:sz w:val="32"/>
          <w:szCs w:val="32"/>
          <w:highlight w:val="none"/>
          <w:lang w:val="en-US" w:eastAsia="zh-CN" w:bidi="ar-SA"/>
        </w:rPr>
        <w:t>机构向经办机构提出长期护理服务定点申请，至少提供以下材料：</w:t>
      </w:r>
    </w:p>
    <w:p>
      <w:pPr>
        <w:pStyle w:val="7"/>
        <w:keepNext w:val="0"/>
        <w:keepLines w:val="0"/>
        <w:pageBreakBefore w:val="0"/>
        <w:widowControl w:val="0"/>
        <w:kinsoku/>
        <w:wordWrap/>
        <w:overflowPunct/>
        <w:topLinePunct w:val="0"/>
        <w:autoSpaceDE/>
        <w:autoSpaceDN/>
        <w:bidi w:val="0"/>
        <w:adjustRightInd/>
        <w:snapToGrid/>
        <w:spacing w:after="0" w:line="55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1.申请定点资料。《温州市医疗保障定点护理机构申请书》及《评估表》（见附件）。</w:t>
      </w:r>
    </w:p>
    <w:p>
      <w:pPr>
        <w:keepNext w:val="0"/>
        <w:keepLines w:val="0"/>
        <w:pageBreakBefore w:val="0"/>
        <w:widowControl w:val="0"/>
        <w:kinsoku/>
        <w:wordWrap/>
        <w:overflowPunct/>
        <w:topLinePunct w:val="0"/>
        <w:autoSpaceDE/>
        <w:autoSpaceDN/>
        <w:bidi w:val="0"/>
        <w:adjustRightInd/>
        <w:snapToGrid/>
        <w:spacing w:line="550" w:lineRule="exact"/>
        <w:ind w:leftChars="0" w:firstLine="640" w:firstLineChars="200"/>
        <w:jc w:val="left"/>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sz w:val="32"/>
          <w:szCs w:val="32"/>
          <w:highlight w:val="none"/>
          <w:lang w:val="en-US" w:eastAsia="zh-CN"/>
        </w:rPr>
        <w:t>服务资质证明资料。</w:t>
      </w:r>
      <w:r>
        <w:rPr>
          <w:rFonts w:hint="eastAsia" w:ascii="仿宋_GB2312" w:hAnsi="仿宋_GB2312" w:eastAsia="仿宋_GB2312" w:cs="仿宋_GB2312"/>
          <w:color w:val="auto"/>
          <w:sz w:val="32"/>
          <w:szCs w:val="32"/>
          <w:highlight w:val="none"/>
          <w:u w:val="none"/>
          <w:vertAlign w:val="baseline"/>
        </w:rPr>
        <w:t>养老机构提供《养老机构设立许可证》正、副本</w:t>
      </w:r>
      <w:r>
        <w:rPr>
          <w:rFonts w:hint="eastAsia" w:ascii="仿宋_GB2312" w:hAnsi="仿宋_GB2312" w:eastAsia="仿宋_GB2312" w:cs="仿宋_GB2312"/>
          <w:color w:val="auto"/>
          <w:sz w:val="32"/>
          <w:szCs w:val="32"/>
          <w:highlight w:val="none"/>
          <w:u w:val="none"/>
          <w:vertAlign w:val="baseline"/>
          <w:lang w:eastAsia="zh-CN"/>
        </w:rPr>
        <w:t>复印件</w:t>
      </w:r>
      <w:r>
        <w:rPr>
          <w:rFonts w:hint="eastAsia" w:ascii="仿宋_GB2312" w:hAnsi="仿宋_GB2312" w:eastAsia="仿宋_GB2312" w:cs="仿宋_GB2312"/>
          <w:color w:val="auto"/>
          <w:sz w:val="32"/>
          <w:szCs w:val="32"/>
          <w:highlight w:val="none"/>
          <w:u w:val="none"/>
          <w:vertAlign w:val="baseline"/>
        </w:rPr>
        <w:t>或《设置养老机构备案回执》；医疗机构提供《医疗机构执业许可证》正、副本</w:t>
      </w:r>
      <w:r>
        <w:rPr>
          <w:rFonts w:hint="eastAsia" w:ascii="仿宋_GB2312" w:hAnsi="仿宋_GB2312" w:eastAsia="仿宋_GB2312" w:cs="仿宋_GB2312"/>
          <w:color w:val="auto"/>
          <w:sz w:val="32"/>
          <w:szCs w:val="32"/>
          <w:highlight w:val="none"/>
          <w:u w:val="none"/>
          <w:vertAlign w:val="baseline"/>
          <w:lang w:eastAsia="zh-CN"/>
        </w:rPr>
        <w:t>复印件</w:t>
      </w:r>
      <w:r>
        <w:rPr>
          <w:rFonts w:hint="default" w:ascii="仿宋_GB2312" w:hAnsi="仿宋_GB2312" w:eastAsia="仿宋_GB2312" w:cs="仿宋_GB2312"/>
          <w:color w:val="auto"/>
          <w:sz w:val="32"/>
          <w:szCs w:val="32"/>
          <w:highlight w:val="none"/>
          <w:u w:val="none"/>
          <w:vertAlign w:val="baseline"/>
          <w:lang w:eastAsia="zh-CN"/>
        </w:rPr>
        <w:t>，</w:t>
      </w:r>
      <w:r>
        <w:rPr>
          <w:rFonts w:hint="eastAsia" w:ascii="仿宋_GB2312" w:hAnsi="仿宋_GB2312" w:eastAsia="仿宋_GB2312" w:cs="仿宋_GB2312"/>
          <w:color w:val="auto"/>
          <w:spacing w:val="11"/>
          <w:sz w:val="32"/>
          <w:szCs w:val="32"/>
          <w:highlight w:val="none"/>
        </w:rPr>
        <w:t>《事业单位法人证书》或《民办非</w:t>
      </w:r>
      <w:r>
        <w:rPr>
          <w:rFonts w:hint="eastAsia" w:ascii="仿宋_GB2312" w:hAnsi="仿宋_GB2312" w:eastAsia="仿宋_GB2312" w:cs="仿宋_GB2312"/>
          <w:color w:val="auto"/>
          <w:spacing w:val="5"/>
          <w:sz w:val="32"/>
          <w:szCs w:val="32"/>
          <w:highlight w:val="none"/>
        </w:rPr>
        <w:t>企业单位登记证书》的正、副本复印件</w:t>
      </w:r>
      <w:r>
        <w:rPr>
          <w:rFonts w:hint="default" w:ascii="仿宋_GB2312" w:hAnsi="仿宋_GB2312" w:eastAsia="仿宋_GB2312" w:cs="仿宋_GB2312"/>
          <w:color w:val="auto"/>
          <w:spacing w:val="5"/>
          <w:sz w:val="32"/>
          <w:szCs w:val="32"/>
          <w:highlight w:val="none"/>
        </w:rPr>
        <w:t>，或</w:t>
      </w:r>
      <w:r>
        <w:rPr>
          <w:rFonts w:hint="eastAsia" w:ascii="仿宋_GB2312" w:hAnsi="仿宋_GB2312" w:eastAsia="仿宋_GB2312" w:cs="仿宋_GB2312"/>
          <w:color w:val="auto"/>
          <w:spacing w:val="5"/>
          <w:sz w:val="32"/>
          <w:szCs w:val="32"/>
          <w:highlight w:val="none"/>
        </w:rPr>
        <w:t>《营业</w:t>
      </w:r>
      <w:r>
        <w:rPr>
          <w:rFonts w:hint="eastAsia" w:ascii="仿宋_GB2312" w:hAnsi="仿宋_GB2312" w:eastAsia="仿宋_GB2312" w:cs="仿宋_GB2312"/>
          <w:color w:val="auto"/>
          <w:spacing w:val="2"/>
          <w:sz w:val="32"/>
          <w:szCs w:val="32"/>
          <w:highlight w:val="none"/>
        </w:rPr>
        <w:t>执照》的正、副本复印件</w:t>
      </w:r>
      <w:r>
        <w:rPr>
          <w:rFonts w:hint="eastAsia" w:ascii="仿宋_GB2312" w:hAnsi="仿宋_GB2312" w:eastAsia="仿宋_GB2312" w:cs="仿宋_GB2312"/>
          <w:color w:val="auto"/>
          <w:spacing w:val="2"/>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与医院、社区卫生服务中心、护理院或诊所签订的医疗服务合作协议复印件。</w:t>
      </w:r>
    </w:p>
    <w:p>
      <w:pPr>
        <w:pStyle w:val="7"/>
        <w:keepNext w:val="0"/>
        <w:keepLines w:val="0"/>
        <w:pageBreakBefore w:val="0"/>
        <w:widowControl w:val="0"/>
        <w:kinsoku/>
        <w:wordWrap/>
        <w:overflowPunct/>
        <w:topLinePunct w:val="0"/>
        <w:autoSpaceDE/>
        <w:autoSpaceDN/>
        <w:bidi w:val="0"/>
        <w:adjustRightInd/>
        <w:snapToGrid/>
        <w:spacing w:line="550" w:lineRule="exact"/>
        <w:ind w:left="0" w:leftChars="0" w:firstLine="648" w:firstLineChars="200"/>
        <w:textAlignment w:val="auto"/>
        <w:rPr>
          <w:rFonts w:hint="eastAsia" w:ascii="仿宋_GB2312" w:hAnsi="仿宋_GB2312" w:eastAsia="仿宋_GB2312" w:cs="仿宋_GB2312"/>
          <w:color w:val="auto"/>
          <w:sz w:val="32"/>
          <w:szCs w:val="32"/>
          <w:highlight w:val="yellow"/>
          <w:lang w:val="en-US" w:eastAsia="zh-CN"/>
        </w:rPr>
      </w:pPr>
      <w:r>
        <w:rPr>
          <w:rFonts w:hint="eastAsia" w:ascii="仿宋_GB2312" w:hAnsi="仿宋_GB2312" w:eastAsia="仿宋_GB2312" w:cs="仿宋_GB2312"/>
          <w:color w:val="auto"/>
          <w:spacing w:val="2"/>
          <w:sz w:val="32"/>
          <w:szCs w:val="32"/>
          <w:highlight w:val="none"/>
          <w:lang w:val="en-US" w:eastAsia="zh-CN"/>
        </w:rPr>
        <w:t>3.服务人员资料。</w:t>
      </w:r>
      <w:r>
        <w:rPr>
          <w:rFonts w:hint="eastAsia" w:ascii="仿宋_GB2312" w:hAnsi="仿宋_GB2312" w:eastAsia="仿宋_GB2312" w:cs="仿宋_GB2312"/>
          <w:color w:val="auto"/>
          <w:kern w:val="2"/>
          <w:sz w:val="32"/>
          <w:szCs w:val="32"/>
          <w:highlight w:val="none"/>
          <w:lang w:val="en-US" w:eastAsia="zh-CN" w:bidi="ar-SA"/>
        </w:rPr>
        <w:t>法定代表人身份证复印件，</w:t>
      </w:r>
      <w:r>
        <w:rPr>
          <w:rFonts w:hint="eastAsia" w:ascii="仿宋_GB2312" w:hAnsi="仿宋_GB2312" w:eastAsia="仿宋_GB2312" w:cs="仿宋_GB2312"/>
          <w:color w:val="auto"/>
          <w:sz w:val="32"/>
          <w:szCs w:val="32"/>
          <w:highlight w:val="none"/>
          <w:lang w:val="en-US" w:eastAsia="zh-CN"/>
        </w:rPr>
        <w:t>根据护理服务机构类型，提交医务人员、护理人员花名册，医务人员执业证书及资格证书复印件、人社部门认定的职业技能证书复印件护理人员培训合格证明复印件、培训证书复印件；职工劳动合同</w:t>
      </w:r>
      <w:r>
        <w:rPr>
          <w:rFonts w:hint="default" w:ascii="仿宋_GB2312" w:hAnsi="仿宋_GB2312" w:eastAsia="仿宋_GB2312" w:cs="仿宋_GB2312"/>
          <w:color w:val="auto"/>
          <w:sz w:val="32"/>
          <w:szCs w:val="32"/>
          <w:highlight w:val="none"/>
          <w:lang w:eastAsia="zh-CN"/>
        </w:rPr>
        <w:t>或</w:t>
      </w:r>
      <w:r>
        <w:rPr>
          <w:rFonts w:hint="eastAsia" w:ascii="仿宋_GB2312" w:hAnsi="仿宋_GB2312" w:eastAsia="仿宋_GB2312" w:cs="仿宋_GB2312"/>
          <w:color w:val="auto"/>
          <w:sz w:val="32"/>
          <w:szCs w:val="32"/>
          <w:highlight w:val="none"/>
          <w:lang w:val="en-US" w:eastAsia="zh-CN"/>
        </w:rPr>
        <w:t>聘用协议、健康</w:t>
      </w:r>
      <w:r>
        <w:rPr>
          <w:rFonts w:hint="default" w:ascii="仿宋_GB2312" w:hAnsi="仿宋_GB2312" w:eastAsia="仿宋_GB2312" w:cs="仿宋_GB2312"/>
          <w:color w:val="auto"/>
          <w:sz w:val="32"/>
          <w:szCs w:val="32"/>
          <w:highlight w:val="none"/>
          <w:lang w:eastAsia="zh-CN"/>
        </w:rPr>
        <w:t>证</w:t>
      </w:r>
      <w:r>
        <w:rPr>
          <w:rFonts w:hint="eastAsia" w:ascii="仿宋_GB2312" w:hAnsi="仿宋_GB2312" w:eastAsia="仿宋_GB2312" w:cs="仿宋_GB2312"/>
          <w:color w:val="auto"/>
          <w:sz w:val="32"/>
          <w:szCs w:val="32"/>
          <w:highlight w:val="none"/>
          <w:lang w:val="en-US" w:eastAsia="zh-CN"/>
        </w:rPr>
        <w:t>及在本单位参加基本医疗及社会保险的相关材料。</w:t>
      </w:r>
    </w:p>
    <w:p>
      <w:pPr>
        <w:keepNext w:val="0"/>
        <w:keepLines w:val="0"/>
        <w:pageBreakBefore w:val="0"/>
        <w:widowControl w:val="0"/>
        <w:kinsoku/>
        <w:wordWrap/>
        <w:overflowPunct/>
        <w:topLinePunct w:val="0"/>
        <w:autoSpaceDE/>
        <w:autoSpaceDN/>
        <w:bidi w:val="0"/>
        <w:adjustRightInd/>
        <w:snapToGrid/>
        <w:spacing w:line="55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4.服务场所、设施设备资料。服务机构经营用房产权证明或租赁合同（产权证明或租赁合同有效期不低于3年）、营业平面布局图（注明面积、功能区分）等相关资料复印件；提供全日入住类护理的医疗机构、养老机构、残疾人托养服务机构提供主管部门同意设立养老病区、护理病区或长期护理服务专区的相关文件；提供护理服务区域设置示意图、护理服务区域床位张数证明；居家上门类护理服务机构提供服务设施设备清单。     </w:t>
      </w:r>
    </w:p>
    <w:p>
      <w:pPr>
        <w:keepNext w:val="0"/>
        <w:keepLines w:val="0"/>
        <w:pageBreakBefore w:val="0"/>
        <w:widowControl w:val="0"/>
        <w:kinsoku/>
        <w:wordWrap/>
        <w:overflowPunct/>
        <w:topLinePunct w:val="0"/>
        <w:autoSpaceDE/>
        <w:autoSpaceDN/>
        <w:bidi w:val="0"/>
        <w:adjustRightInd/>
        <w:snapToGrid/>
        <w:spacing w:line="55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5.服务管理资料。</w:t>
      </w:r>
      <w:r>
        <w:rPr>
          <w:rFonts w:hint="default" w:ascii="仿宋_GB2312" w:hAnsi="仿宋_GB2312" w:eastAsia="仿宋_GB2312" w:cs="仿宋_GB2312"/>
          <w:color w:val="auto"/>
          <w:sz w:val="32"/>
          <w:szCs w:val="32"/>
          <w:highlight w:val="none"/>
          <w:lang w:eastAsia="zh-CN"/>
        </w:rPr>
        <w:t>与长期护理保险政策对应的内部管理制度和财务管理制度。</w:t>
      </w:r>
    </w:p>
    <w:p>
      <w:pPr>
        <w:keepNext w:val="0"/>
        <w:keepLines w:val="0"/>
        <w:pageBreakBefore w:val="0"/>
        <w:widowControl w:val="0"/>
        <w:kinsoku/>
        <w:wordWrap/>
        <w:overflowPunct/>
        <w:topLinePunct w:val="0"/>
        <w:autoSpaceDE/>
        <w:autoSpaceDN/>
        <w:bidi w:val="0"/>
        <w:adjustRightInd/>
        <w:snapToGrid/>
        <w:spacing w:line="550" w:lineRule="exact"/>
        <w:ind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6.信用资料。承诺服务机构法定代表人、主要负责人或实际控制人未被列入失信被执行人名单。</w:t>
      </w:r>
    </w:p>
    <w:p>
      <w:pPr>
        <w:keepNext w:val="0"/>
        <w:keepLines w:val="0"/>
        <w:pageBreakBefore w:val="0"/>
        <w:widowControl w:val="0"/>
        <w:kinsoku/>
        <w:wordWrap/>
        <w:overflowPunct/>
        <w:topLinePunct w:val="0"/>
        <w:autoSpaceDE/>
        <w:autoSpaceDN/>
        <w:bidi w:val="0"/>
        <w:adjustRightInd/>
        <w:snapToGrid/>
        <w:spacing w:line="550" w:lineRule="exact"/>
        <w:ind w:leftChars="0"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7.护理服务</w:t>
      </w:r>
      <w:r>
        <w:rPr>
          <w:rFonts w:hint="eastAsia" w:ascii="仿宋_GB2312" w:hAnsi="仿宋_GB2312" w:eastAsia="仿宋_GB2312" w:cs="仿宋_GB2312"/>
          <w:color w:val="auto"/>
          <w:sz w:val="32"/>
          <w:szCs w:val="32"/>
          <w:highlight w:val="none"/>
          <w:lang w:val="en-US" w:eastAsia="zh-CN"/>
        </w:rPr>
        <w:t>机构需提供</w:t>
      </w:r>
      <w:r>
        <w:rPr>
          <w:rFonts w:hint="eastAsia" w:ascii="仿宋_GB2312" w:hAnsi="仿宋_GB2312" w:eastAsia="仿宋_GB2312" w:cs="仿宋_GB2312"/>
          <w:color w:val="auto"/>
          <w:kern w:val="0"/>
          <w:sz w:val="32"/>
          <w:szCs w:val="32"/>
          <w:highlight w:val="none"/>
          <w:lang w:val="en-US" w:eastAsia="zh-CN" w:bidi="ar"/>
        </w:rPr>
        <w:t>近一年度财务报表（不足一年的，提供自开业以来的报表）。</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after="0" w:line="550" w:lineRule="exact"/>
        <w:ind w:firstLine="640" w:firstLineChars="200"/>
        <w:jc w:val="both"/>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五、集中受理</w:t>
      </w:r>
    </w:p>
    <w:p>
      <w:pPr>
        <w:pStyle w:val="7"/>
        <w:keepNext w:val="0"/>
        <w:keepLines w:val="0"/>
        <w:pageBreakBefore w:val="0"/>
        <w:widowControl w:val="0"/>
        <w:kinsoku/>
        <w:wordWrap/>
        <w:overflowPunct/>
        <w:topLinePunct w:val="0"/>
        <w:autoSpaceDE/>
        <w:autoSpaceDN/>
        <w:bidi w:val="0"/>
        <w:adjustRightInd/>
        <w:snapToGrid/>
        <w:spacing w:after="0" w:line="550" w:lineRule="exact"/>
        <w:ind w:left="0" w:leftChars="0" w:firstLine="640" w:firstLineChars="200"/>
        <w:jc w:val="both"/>
        <w:textAlignment w:val="auto"/>
        <w:rPr>
          <w:rFonts w:hint="eastAsia" w:ascii="仿宋" w:hAnsi="仿宋" w:eastAsia="仿宋" w:cs="仿宋"/>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一）经办机构原则上每季度应开展1次集中受理审查，对申请材料进行初审，材料齐全的予以受理，材料不齐或不符合条件的，应自收到材料之日起5个工作日内一次性告知申请机构。申请机构应自收到材料补正通知之日起5个工作日内补正，逾期不补正的视作放弃申请，须3个月后方可再次申请。</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val="0"/>
          <w:bCs w:val="0"/>
          <w:i w:val="0"/>
          <w:caps w:val="0"/>
          <w:color w:val="auto"/>
          <w:spacing w:val="0"/>
          <w:sz w:val="32"/>
          <w:szCs w:val="32"/>
          <w:highlight w:val="none"/>
          <w:shd w:val="clear" w:color="auto" w:fill="FFFFFF"/>
          <w:lang w:val="en-US" w:eastAsia="zh-CN"/>
        </w:rPr>
        <w:t>（二）护理服务</w:t>
      </w:r>
      <w:r>
        <w:rPr>
          <w:rFonts w:hint="eastAsia" w:ascii="仿宋_GB2312" w:hAnsi="仿宋_GB2312" w:eastAsia="仿宋_GB2312" w:cs="仿宋_GB2312"/>
          <w:color w:val="auto"/>
          <w:sz w:val="32"/>
          <w:szCs w:val="32"/>
          <w:highlight w:val="none"/>
          <w:lang w:val="en-US" w:eastAsia="zh-CN"/>
        </w:rPr>
        <w:t>机构有下列情形之一的,不予受理定点申请:</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1.护理服务机构未执行相关行政部门制定的护理项目价格政策的;</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2.未依法履行行政处罚责任的;</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3.以弄虚作假等不正当手段申请定点,自发现之日起未满3年的;</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4.因违法违规被解除服务协议未满3年或已满3年但未完全履行行政处罚法律责任的;</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5.因严重违反服务协议约定而被解除协议未满1年或已满1年但未完全履行违约责任的;</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6.法定代表人、主要负责人或实际控制人曾因严重违法违规导致原定点护理服务机构被解除服务协议,未满5年的;</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7.法定代表人、主要负责人或实际控制人被列入失信人名单的;因医疗护理服务行为受到有关行政部门处罚未满1 年的;</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8.近2年内</w:t>
      </w:r>
      <w:r>
        <w:rPr>
          <w:rFonts w:hint="default" w:ascii="仿宋_GB2312" w:hAnsi="仿宋_GB2312" w:eastAsia="仿宋_GB2312" w:cs="仿宋_GB2312"/>
          <w:color w:val="auto"/>
          <w:sz w:val="32"/>
          <w:szCs w:val="32"/>
          <w:highlight w:val="none"/>
          <w:lang w:eastAsia="zh-CN"/>
        </w:rPr>
        <w:t>非法行医、非法医疗广告、机构外包等</w:t>
      </w:r>
      <w:r>
        <w:rPr>
          <w:rFonts w:hint="eastAsia" w:ascii="仿宋_GB2312" w:hAnsi="仿宋_GB2312" w:eastAsia="仿宋_GB2312" w:cs="仿宋_GB2312"/>
          <w:color w:val="auto"/>
          <w:sz w:val="32"/>
          <w:szCs w:val="32"/>
          <w:highlight w:val="none"/>
          <w:lang w:val="en-US" w:eastAsia="zh-CN"/>
        </w:rPr>
        <w:t>不规范经营行为的;</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9.同一法人主体(投资主体)的相关定点护理机构及其工作人员,1年内有因违规被暂停、解除或终止服务协议和正在接受经办机构调查处理拒不配合等情况的;</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10.法律法规规定的其他不予受理的情形。</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六、现场核查</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经办机构可通过资料审核、现场核查、函询相关主管部门意见等方式，对护理机构所申报材料和信息进行审核，对提供虚假材料的护理机构，一经核实，申请不通过。</w:t>
      </w:r>
    </w:p>
    <w:p>
      <w:pPr>
        <w:keepNext w:val="0"/>
        <w:keepLines w:val="0"/>
        <w:pageBreakBefore w:val="0"/>
        <w:widowControl w:val="0"/>
        <w:shd w:val="clear" w:color="auto" w:fill="FFFFFF"/>
        <w:kinsoku/>
        <w:wordWrap/>
        <w:overflowPunct w:val="0"/>
        <w:topLinePunct w:val="0"/>
        <w:bidi w:val="0"/>
        <w:snapToGrid/>
        <w:spacing w:line="55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经办机构按照评估的要求和定点原则，依据申报资料及《评估表》对护理机构进行现场核查打分。现场核查人员至少2人以上到场，并实行回避制度，确保公平性和公正性。</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after="0" w:line="550" w:lineRule="exact"/>
        <w:ind w:firstLine="640" w:firstLineChars="200"/>
        <w:jc w:val="both"/>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七、专家评估</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市级经办机构根据实际情况建立、管理评估专家库。</w:t>
      </w:r>
      <w:r>
        <w:rPr>
          <w:rFonts w:hint="eastAsia" w:ascii="仿宋_GB2312" w:hAnsi="仿宋_GB2312" w:eastAsia="仿宋_GB2312" w:cs="仿宋_GB2312"/>
          <w:b w:val="0"/>
          <w:bCs w:val="0"/>
          <w:color w:val="auto"/>
          <w:sz w:val="32"/>
          <w:szCs w:val="32"/>
          <w:highlight w:val="none"/>
          <w:lang w:val="en-US" w:eastAsia="zh-CN"/>
        </w:rPr>
        <w:t>由</w:t>
      </w:r>
      <w:r>
        <w:rPr>
          <w:rFonts w:hint="eastAsia" w:ascii="仿宋_GB2312" w:hAnsi="仿宋_GB2312" w:eastAsia="仿宋_GB2312" w:cs="仿宋_GB2312"/>
          <w:color w:val="auto"/>
          <w:kern w:val="0"/>
          <w:sz w:val="32"/>
          <w:szCs w:val="32"/>
          <w:highlight w:val="none"/>
          <w:lang w:val="en-US" w:eastAsia="zh-CN"/>
        </w:rPr>
        <w:t>市级经办机构结合原定点医药机构评估专家库，专家库成员增加民政、残联部门代表及定点医疗机构副高以上职称护士代表。参照定点医药机构评估专家库统一管理。</w:t>
      </w:r>
    </w:p>
    <w:p>
      <w:pPr>
        <w:keepNext w:val="0"/>
        <w:keepLines w:val="0"/>
        <w:pageBreakBefore w:val="0"/>
        <w:widowControl w:val="0"/>
        <w:kinsoku/>
        <w:wordWrap/>
        <w:overflowPunct w:val="0"/>
        <w:topLinePunct w:val="0"/>
        <w:bidi w:val="0"/>
        <w:snapToGrid/>
        <w:spacing w:line="55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现场核查分合格（</w:t>
      </w:r>
      <w:r>
        <w:rPr>
          <w:rFonts w:hint="eastAsia" w:ascii="仿宋_GB2312" w:hAnsi="仿宋_GB2312" w:eastAsia="仿宋_GB2312" w:cs="仿宋_GB2312"/>
          <w:color w:val="auto"/>
          <w:kern w:val="0"/>
          <w:sz w:val="32"/>
          <w:szCs w:val="32"/>
          <w:highlight w:val="none"/>
          <w:lang w:val="en-US" w:eastAsia="zh-CN"/>
        </w:rPr>
        <w:t>120分及以上</w:t>
      </w:r>
      <w:r>
        <w:rPr>
          <w:rFonts w:hint="eastAsia" w:ascii="仿宋_GB2312" w:hAnsi="仿宋_GB2312" w:eastAsia="仿宋_GB2312" w:cs="仿宋_GB2312"/>
          <w:color w:val="auto"/>
          <w:kern w:val="0"/>
          <w:sz w:val="32"/>
          <w:szCs w:val="32"/>
          <w:highlight w:val="none"/>
          <w:lang w:eastAsia="zh-CN"/>
        </w:rPr>
        <w:t>）和不合格（</w:t>
      </w:r>
      <w:r>
        <w:rPr>
          <w:rFonts w:hint="eastAsia" w:ascii="仿宋_GB2312" w:hAnsi="仿宋_GB2312" w:eastAsia="仿宋_GB2312" w:cs="仿宋_GB2312"/>
          <w:color w:val="auto"/>
          <w:kern w:val="0"/>
          <w:sz w:val="32"/>
          <w:szCs w:val="32"/>
          <w:highlight w:val="none"/>
          <w:lang w:val="en-US" w:eastAsia="zh-CN"/>
        </w:rPr>
        <w:t>120分以下</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合格的</w:t>
      </w:r>
      <w:r>
        <w:rPr>
          <w:rFonts w:hint="eastAsia" w:ascii="仿宋_GB2312" w:hAnsi="仿宋_GB2312" w:eastAsia="仿宋_GB2312" w:cs="仿宋_GB2312"/>
          <w:color w:val="auto"/>
          <w:kern w:val="0"/>
          <w:sz w:val="32"/>
          <w:szCs w:val="32"/>
          <w:highlight w:val="none"/>
        </w:rPr>
        <w:t>提交评估小组综合评估</w:t>
      </w:r>
      <w:r>
        <w:rPr>
          <w:rFonts w:hint="eastAsia" w:ascii="仿宋_GB2312" w:hAnsi="仿宋_GB2312" w:eastAsia="仿宋_GB2312" w:cs="仿宋_GB2312"/>
          <w:color w:val="auto"/>
          <w:kern w:val="0"/>
          <w:sz w:val="32"/>
          <w:szCs w:val="32"/>
          <w:highlight w:val="none"/>
          <w:lang w:eastAsia="zh-CN"/>
        </w:rPr>
        <w:t>，不合格的，辖区</w:t>
      </w:r>
      <w:r>
        <w:rPr>
          <w:rFonts w:hint="eastAsia" w:ascii="仿宋_GB2312" w:hAnsi="仿宋_GB2312" w:eastAsia="仿宋_GB2312" w:cs="仿宋_GB2312"/>
          <w:color w:val="auto"/>
          <w:kern w:val="0"/>
          <w:sz w:val="32"/>
          <w:szCs w:val="32"/>
          <w:highlight w:val="none"/>
        </w:rPr>
        <w:t>经办机构应告知其理由，提出整改建议</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自结果告知送达之日起，整改3个月后可再次</w:t>
      </w:r>
      <w:r>
        <w:rPr>
          <w:rFonts w:hint="eastAsia" w:ascii="仿宋_GB2312" w:hAnsi="仿宋_GB2312" w:eastAsia="仿宋_GB2312" w:cs="仿宋_GB2312"/>
          <w:color w:val="auto"/>
          <w:kern w:val="0"/>
          <w:sz w:val="32"/>
          <w:szCs w:val="32"/>
          <w:highlight w:val="none"/>
          <w:lang w:eastAsia="zh-CN"/>
        </w:rPr>
        <w:t>申报</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color w:val="auto"/>
          <w:kern w:val="0"/>
          <w:sz w:val="32"/>
          <w:szCs w:val="32"/>
          <w:highlight w:val="none"/>
          <w:lang w:eastAsia="zh-CN"/>
        </w:rPr>
        <w:t>第二次申报现场核查</w:t>
      </w:r>
      <w:r>
        <w:rPr>
          <w:rFonts w:hint="eastAsia" w:ascii="仿宋_GB2312" w:hAnsi="仿宋_GB2312" w:eastAsia="仿宋_GB2312" w:cs="仿宋_GB2312"/>
          <w:color w:val="auto"/>
          <w:kern w:val="0"/>
          <w:sz w:val="32"/>
          <w:szCs w:val="32"/>
          <w:highlight w:val="none"/>
        </w:rPr>
        <w:t>仍未</w:t>
      </w:r>
      <w:r>
        <w:rPr>
          <w:rFonts w:hint="eastAsia" w:ascii="仿宋_GB2312" w:hAnsi="仿宋_GB2312" w:eastAsia="仿宋_GB2312" w:cs="仿宋_GB2312"/>
          <w:color w:val="auto"/>
          <w:kern w:val="0"/>
          <w:sz w:val="32"/>
          <w:szCs w:val="32"/>
          <w:highlight w:val="none"/>
          <w:lang w:eastAsia="zh-CN"/>
        </w:rPr>
        <w:t>合格</w:t>
      </w:r>
      <w:r>
        <w:rPr>
          <w:rFonts w:hint="eastAsia" w:ascii="仿宋_GB2312" w:hAnsi="仿宋_GB2312" w:eastAsia="仿宋_GB2312" w:cs="仿宋_GB2312"/>
          <w:color w:val="auto"/>
          <w:kern w:val="0"/>
          <w:sz w:val="32"/>
          <w:szCs w:val="32"/>
          <w:highlight w:val="none"/>
        </w:rPr>
        <w:t>的，1年内不得再次申请。</w:t>
      </w:r>
    </w:p>
    <w:p>
      <w:pPr>
        <w:keepNext w:val="0"/>
        <w:keepLines w:val="0"/>
        <w:pageBreakBefore w:val="0"/>
        <w:widowControl w:val="0"/>
        <w:kinsoku/>
        <w:wordWrap/>
        <w:overflowPunct w:val="0"/>
        <w:topLinePunct w:val="0"/>
        <w:bidi w:val="0"/>
        <w:snapToGrid/>
        <w:spacing w:line="550" w:lineRule="exact"/>
        <w:ind w:left="0" w:leftChars="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评估小组按照</w:t>
      </w:r>
      <w:r>
        <w:rPr>
          <w:rFonts w:hint="eastAsia" w:ascii="仿宋_GB2312" w:hAnsi="仿宋_GB2312" w:eastAsia="仿宋_GB2312" w:cs="仿宋_GB2312"/>
          <w:color w:val="auto"/>
          <w:kern w:val="0"/>
          <w:sz w:val="32"/>
          <w:szCs w:val="32"/>
          <w:highlight w:val="none"/>
          <w:lang w:eastAsia="zh-CN"/>
        </w:rPr>
        <w:t>核查结果、经办机构汇报情况等进行综合评估，评估结果分通过与不通过。评估通过的，纳入</w:t>
      </w:r>
      <w:r>
        <w:rPr>
          <w:rFonts w:hint="eastAsia" w:ascii="仿宋_GB2312" w:hAnsi="仿宋_GB2312" w:eastAsia="仿宋_GB2312" w:cs="仿宋_GB2312"/>
          <w:color w:val="auto"/>
          <w:kern w:val="0"/>
          <w:sz w:val="32"/>
          <w:szCs w:val="32"/>
          <w:highlight w:val="none"/>
        </w:rPr>
        <w:t>拟新增定点</w:t>
      </w:r>
      <w:r>
        <w:rPr>
          <w:rFonts w:hint="eastAsia" w:ascii="仿宋_GB2312" w:hAnsi="仿宋_GB2312" w:eastAsia="仿宋_GB2312" w:cs="仿宋_GB2312"/>
          <w:color w:val="auto"/>
          <w:kern w:val="0"/>
          <w:sz w:val="32"/>
          <w:szCs w:val="32"/>
          <w:highlight w:val="none"/>
          <w:lang w:val="en-US" w:eastAsia="zh-CN"/>
        </w:rPr>
        <w:t>护理</w:t>
      </w:r>
      <w:r>
        <w:rPr>
          <w:rFonts w:hint="eastAsia" w:ascii="仿宋_GB2312" w:hAnsi="仿宋_GB2312" w:eastAsia="仿宋_GB2312" w:cs="仿宋_GB2312"/>
          <w:color w:val="auto"/>
          <w:kern w:val="0"/>
          <w:sz w:val="32"/>
          <w:szCs w:val="32"/>
          <w:highlight w:val="none"/>
          <w:lang w:eastAsia="zh-CN"/>
        </w:rPr>
        <w:t>机构</w:t>
      </w:r>
      <w:r>
        <w:rPr>
          <w:rFonts w:hint="eastAsia" w:ascii="仿宋_GB2312" w:hAnsi="仿宋_GB2312" w:eastAsia="仿宋_GB2312" w:cs="仿宋_GB2312"/>
          <w:color w:val="auto"/>
          <w:kern w:val="0"/>
          <w:sz w:val="32"/>
          <w:szCs w:val="32"/>
          <w:highlight w:val="none"/>
        </w:rPr>
        <w:t>名单</w:t>
      </w:r>
      <w:r>
        <w:rPr>
          <w:rFonts w:hint="eastAsia" w:ascii="仿宋_GB2312" w:hAnsi="仿宋_GB2312" w:eastAsia="仿宋_GB2312" w:cs="仿宋_GB2312"/>
          <w:color w:val="auto"/>
          <w:kern w:val="0"/>
          <w:sz w:val="32"/>
          <w:szCs w:val="32"/>
          <w:highlight w:val="none"/>
          <w:lang w:eastAsia="zh-CN"/>
        </w:rPr>
        <w:t>；评估不通过的，由辖区经办机构进行通知</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val="0"/>
        <w:kinsoku/>
        <w:wordWrap/>
        <w:overflowPunct w:val="0"/>
        <w:topLinePunct w:val="0"/>
        <w:bidi w:val="0"/>
        <w:snapToGrid/>
        <w:spacing w:line="550" w:lineRule="exact"/>
        <w:ind w:left="0" w:leftChars="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评估小组评估时间自受理申请材料之日起不超过20个工作日，</w:t>
      </w:r>
      <w:r>
        <w:rPr>
          <w:rFonts w:hint="eastAsia" w:ascii="仿宋_GB2312" w:hAnsi="仿宋_GB2312" w:eastAsia="仿宋_GB2312" w:cs="仿宋_GB2312"/>
          <w:color w:val="auto"/>
          <w:kern w:val="0"/>
          <w:sz w:val="32"/>
          <w:szCs w:val="32"/>
          <w:highlight w:val="none"/>
          <w:lang w:val="en-US" w:eastAsia="zh-CN"/>
        </w:rPr>
        <w:t>护理</w:t>
      </w:r>
      <w:r>
        <w:rPr>
          <w:rFonts w:hint="eastAsia" w:ascii="仿宋_GB2312" w:hAnsi="仿宋_GB2312" w:eastAsia="仿宋_GB2312" w:cs="仿宋_GB2312"/>
          <w:color w:val="auto"/>
          <w:kern w:val="0"/>
          <w:sz w:val="32"/>
          <w:szCs w:val="32"/>
          <w:highlight w:val="none"/>
        </w:rPr>
        <w:t>机构补充材料时间不计入评估期限。</w:t>
      </w:r>
    </w:p>
    <w:p>
      <w:pPr>
        <w:keepNext w:val="0"/>
        <w:keepLines w:val="0"/>
        <w:pageBreakBefore w:val="0"/>
        <w:widowControl w:val="0"/>
        <w:kinsoku/>
        <w:wordWrap/>
        <w:overflowPunct w:val="0"/>
        <w:topLinePunct w:val="0"/>
        <w:bidi w:val="0"/>
        <w:snapToGrid/>
        <w:spacing w:line="550" w:lineRule="exact"/>
        <w:ind w:left="0" w:leftChars="0"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经办机构</w:t>
      </w:r>
      <w:r>
        <w:rPr>
          <w:rFonts w:hint="eastAsia" w:ascii="仿宋_GB2312" w:hAnsi="仿宋_GB2312" w:eastAsia="仿宋_GB2312" w:cs="仿宋_GB2312"/>
          <w:color w:val="auto"/>
          <w:kern w:val="0"/>
          <w:sz w:val="32"/>
          <w:szCs w:val="32"/>
          <w:highlight w:val="none"/>
          <w:lang w:eastAsia="zh-CN"/>
        </w:rPr>
        <w:t>根据</w:t>
      </w:r>
      <w:r>
        <w:rPr>
          <w:rFonts w:hint="eastAsia" w:ascii="仿宋_GB2312" w:hAnsi="仿宋_GB2312" w:eastAsia="仿宋_GB2312" w:cs="仿宋_GB2312"/>
          <w:color w:val="auto"/>
          <w:kern w:val="0"/>
          <w:sz w:val="32"/>
          <w:szCs w:val="32"/>
          <w:highlight w:val="none"/>
        </w:rPr>
        <w:t>拟新增</w:t>
      </w:r>
      <w:r>
        <w:rPr>
          <w:rFonts w:hint="eastAsia" w:ascii="仿宋_GB2312" w:hAnsi="仿宋_GB2312" w:eastAsia="仿宋_GB2312" w:cs="仿宋_GB2312"/>
          <w:color w:val="auto"/>
          <w:kern w:val="0"/>
          <w:sz w:val="32"/>
          <w:szCs w:val="32"/>
          <w:highlight w:val="none"/>
          <w:lang w:val="en-US" w:eastAsia="zh-CN"/>
        </w:rPr>
        <w:t>的</w:t>
      </w:r>
      <w:r>
        <w:rPr>
          <w:rFonts w:hint="eastAsia" w:ascii="仿宋_GB2312" w:hAnsi="仿宋_GB2312" w:eastAsia="仿宋_GB2312" w:cs="仿宋_GB2312"/>
          <w:color w:val="auto"/>
          <w:kern w:val="0"/>
          <w:sz w:val="32"/>
          <w:szCs w:val="32"/>
          <w:highlight w:val="none"/>
        </w:rPr>
        <w:t>定点</w:t>
      </w:r>
      <w:r>
        <w:rPr>
          <w:rFonts w:hint="eastAsia" w:ascii="仿宋_GB2312" w:hAnsi="仿宋_GB2312" w:eastAsia="仿宋_GB2312" w:cs="仿宋_GB2312"/>
          <w:color w:val="auto"/>
          <w:kern w:val="0"/>
          <w:sz w:val="32"/>
          <w:szCs w:val="32"/>
          <w:highlight w:val="none"/>
          <w:lang w:val="en-US" w:eastAsia="zh-CN"/>
        </w:rPr>
        <w:t>护理</w:t>
      </w:r>
      <w:r>
        <w:rPr>
          <w:rFonts w:hint="eastAsia" w:ascii="仿宋_GB2312" w:hAnsi="仿宋_GB2312" w:eastAsia="仿宋_GB2312" w:cs="仿宋_GB2312"/>
          <w:color w:val="auto"/>
          <w:kern w:val="0"/>
          <w:sz w:val="32"/>
          <w:szCs w:val="32"/>
          <w:highlight w:val="none"/>
          <w:lang w:eastAsia="zh-CN"/>
        </w:rPr>
        <w:t>机构</w:t>
      </w:r>
      <w:r>
        <w:rPr>
          <w:rFonts w:hint="eastAsia" w:ascii="仿宋_GB2312" w:hAnsi="仿宋_GB2312" w:eastAsia="仿宋_GB2312" w:cs="仿宋_GB2312"/>
          <w:color w:val="auto"/>
          <w:kern w:val="0"/>
          <w:sz w:val="32"/>
          <w:szCs w:val="32"/>
          <w:highlight w:val="none"/>
        </w:rPr>
        <w:t>名单向社会公示。公示期满无异议的，列入拟签订</w:t>
      </w:r>
      <w:r>
        <w:rPr>
          <w:rFonts w:hint="eastAsia" w:ascii="仿宋_GB2312" w:hAnsi="仿宋_GB2312" w:eastAsia="仿宋_GB2312" w:cs="仿宋_GB2312"/>
          <w:color w:val="auto"/>
          <w:kern w:val="0"/>
          <w:sz w:val="32"/>
          <w:szCs w:val="32"/>
          <w:highlight w:val="none"/>
          <w:lang w:val="en-US" w:eastAsia="zh-CN"/>
        </w:rPr>
        <w:t>服务</w:t>
      </w:r>
      <w:r>
        <w:rPr>
          <w:rFonts w:hint="eastAsia" w:ascii="仿宋_GB2312" w:hAnsi="仿宋_GB2312" w:eastAsia="仿宋_GB2312" w:cs="仿宋_GB2312"/>
          <w:color w:val="auto"/>
          <w:kern w:val="0"/>
          <w:sz w:val="32"/>
          <w:szCs w:val="32"/>
          <w:highlight w:val="none"/>
        </w:rPr>
        <w:t>协议的名单。</w:t>
      </w:r>
    </w:p>
    <w:p>
      <w:pPr>
        <w:keepNext w:val="0"/>
        <w:keepLines w:val="0"/>
        <w:pageBreakBefore w:val="0"/>
        <w:widowControl w:val="0"/>
        <w:numPr>
          <w:ilvl w:val="-1"/>
          <w:numId w:val="0"/>
        </w:numPr>
        <w:shd w:val="clear" w:color="auto" w:fill="FFFFFF"/>
        <w:kinsoku/>
        <w:wordWrap/>
        <w:overflowPunct w:val="0"/>
        <w:topLinePunct w:val="0"/>
        <w:bidi w:val="0"/>
        <w:snapToGrid/>
        <w:spacing w:line="550" w:lineRule="exact"/>
        <w:ind w:left="0" w:leftChars="0"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八、协议签订</w:t>
      </w:r>
    </w:p>
    <w:p>
      <w:pPr>
        <w:keepNext w:val="0"/>
        <w:keepLines w:val="0"/>
        <w:pageBreakBefore w:val="0"/>
        <w:widowControl w:val="0"/>
        <w:kinsoku/>
        <w:wordWrap/>
        <w:overflowPunct w:val="0"/>
        <w:topLinePunct w:val="0"/>
        <w:bidi w:val="0"/>
        <w:snapToGrid/>
        <w:spacing w:line="55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lang w:val="en-US" w:eastAsia="zh-CN"/>
        </w:rPr>
        <w:t>拟签订服务协议的护理机构负责人、长期护理专职管理人员</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lang w:val="en-US" w:eastAsia="zh-CN"/>
        </w:rPr>
        <w:t>应在签约前接受辖区医保经办机构组织开展的培训，</w:t>
      </w:r>
      <w:r>
        <w:rPr>
          <w:rFonts w:hint="eastAsia" w:ascii="仿宋_GB2312" w:hAnsi="仿宋_GB2312" w:eastAsia="仿宋_GB2312" w:cs="仿宋_GB2312"/>
          <w:color w:val="auto"/>
          <w:sz w:val="32"/>
          <w:szCs w:val="32"/>
          <w:highlight w:val="none"/>
        </w:rPr>
        <w:t>并须通过</w:t>
      </w:r>
      <w:r>
        <w:rPr>
          <w:rFonts w:hint="eastAsia" w:ascii="仿宋_GB2312" w:hAnsi="仿宋_GB2312" w:eastAsia="仿宋_GB2312" w:cs="仿宋_GB2312"/>
          <w:color w:val="auto"/>
          <w:sz w:val="32"/>
          <w:szCs w:val="32"/>
          <w:highlight w:val="none"/>
          <w:lang w:eastAsia="zh-CN"/>
        </w:rPr>
        <w:t>培训考核</w:t>
      </w:r>
      <w:r>
        <w:rPr>
          <w:rFonts w:hint="eastAsia" w:ascii="仿宋_GB2312" w:hAnsi="仿宋_GB2312" w:eastAsia="仿宋_GB2312" w:cs="仿宋_GB2312"/>
          <w:color w:val="auto"/>
          <w:sz w:val="32"/>
          <w:szCs w:val="32"/>
          <w:highlight w:val="none"/>
        </w:rPr>
        <w:t>测试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培训内容主要包括</w:t>
      </w:r>
      <w:r>
        <w:rPr>
          <w:rFonts w:hint="eastAsia" w:ascii="仿宋_GB2312" w:hAnsi="仿宋_GB2312" w:eastAsia="仿宋_GB2312" w:cs="仿宋_GB2312"/>
          <w:color w:val="auto"/>
          <w:sz w:val="32"/>
          <w:szCs w:val="32"/>
          <w:highlight w:val="none"/>
          <w:lang w:val="en-US" w:eastAsia="zh-CN"/>
        </w:rPr>
        <w:t>长期护理保险</w:t>
      </w:r>
      <w:r>
        <w:rPr>
          <w:rFonts w:hint="eastAsia" w:ascii="仿宋_GB2312" w:hAnsi="仿宋_GB2312" w:eastAsia="仿宋_GB2312" w:cs="仿宋_GB2312"/>
          <w:color w:val="auto"/>
          <w:sz w:val="32"/>
          <w:szCs w:val="32"/>
          <w:highlight w:val="none"/>
        </w:rPr>
        <w:t>政策法规、</w:t>
      </w:r>
      <w:r>
        <w:rPr>
          <w:rFonts w:hint="eastAsia" w:ascii="仿宋_GB2312" w:hAnsi="仿宋_GB2312" w:eastAsia="仿宋_GB2312" w:cs="仿宋_GB2312"/>
          <w:color w:val="auto"/>
          <w:sz w:val="32"/>
          <w:szCs w:val="32"/>
          <w:highlight w:val="none"/>
          <w:lang w:val="en-US" w:eastAsia="zh-CN"/>
        </w:rPr>
        <w:t>服务</w:t>
      </w:r>
      <w:r>
        <w:rPr>
          <w:rFonts w:hint="eastAsia" w:ascii="仿宋_GB2312" w:hAnsi="仿宋_GB2312" w:eastAsia="仿宋_GB2312" w:cs="仿宋_GB2312"/>
          <w:color w:val="auto"/>
          <w:sz w:val="32"/>
          <w:szCs w:val="32"/>
          <w:highlight w:val="none"/>
        </w:rPr>
        <w:t>协议管理规定、业务流程、违规案例分析等。</w:t>
      </w:r>
      <w:r>
        <w:rPr>
          <w:rFonts w:hint="eastAsia" w:ascii="仿宋_GB2312" w:hAnsi="仿宋_GB2312" w:eastAsia="仿宋_GB2312" w:cs="仿宋_GB2312"/>
          <w:color w:val="auto"/>
          <w:sz w:val="32"/>
          <w:szCs w:val="32"/>
          <w:highlight w:val="none"/>
          <w:lang w:val="en-US" w:eastAsia="zh-CN"/>
        </w:rPr>
        <w:t>护理</w:t>
      </w:r>
      <w:r>
        <w:rPr>
          <w:rFonts w:hint="eastAsia" w:ascii="仿宋_GB2312" w:hAnsi="仿宋_GB2312" w:eastAsia="仿宋_GB2312" w:cs="仿宋_GB2312"/>
          <w:color w:val="auto"/>
          <w:kern w:val="0"/>
          <w:sz w:val="32"/>
          <w:szCs w:val="32"/>
          <w:highlight w:val="none"/>
          <w:lang w:val="en-US" w:eastAsia="zh-CN"/>
        </w:rPr>
        <w:t>机构应</w:t>
      </w:r>
      <w:r>
        <w:rPr>
          <w:rFonts w:hint="eastAsia" w:ascii="仿宋_GB2312" w:hAnsi="仿宋_GB2312" w:eastAsia="仿宋_GB2312" w:cs="仿宋_GB2312"/>
          <w:color w:val="auto"/>
          <w:kern w:val="0"/>
          <w:sz w:val="32"/>
          <w:szCs w:val="32"/>
          <w:highlight w:val="none"/>
        </w:rPr>
        <w:t>配备适应</w:t>
      </w:r>
      <w:r>
        <w:rPr>
          <w:rFonts w:hint="eastAsia" w:ascii="仿宋_GB2312" w:hAnsi="仿宋_GB2312" w:eastAsia="仿宋_GB2312" w:cs="仿宋_GB2312"/>
          <w:color w:val="auto"/>
          <w:kern w:val="0"/>
          <w:sz w:val="32"/>
          <w:szCs w:val="32"/>
          <w:highlight w:val="none"/>
          <w:lang w:val="en-US" w:eastAsia="zh-CN"/>
        </w:rPr>
        <w:t>长期护理服务</w:t>
      </w:r>
      <w:r>
        <w:rPr>
          <w:rFonts w:hint="eastAsia" w:ascii="仿宋_GB2312" w:hAnsi="仿宋_GB2312" w:eastAsia="仿宋_GB2312" w:cs="仿宋_GB2312"/>
          <w:color w:val="auto"/>
          <w:kern w:val="0"/>
          <w:sz w:val="32"/>
          <w:szCs w:val="32"/>
          <w:highlight w:val="none"/>
        </w:rPr>
        <w:t>结算、监管等要求的信息系统和硬件设备，按医保部门和经办机构要求安装监管系统，并按要求完成</w:t>
      </w:r>
      <w:r>
        <w:rPr>
          <w:rFonts w:hint="eastAsia" w:ascii="仿宋_GB2312" w:hAnsi="仿宋_GB2312" w:eastAsia="仿宋_GB2312" w:cs="仿宋_GB2312"/>
          <w:color w:val="auto"/>
          <w:kern w:val="0"/>
          <w:sz w:val="32"/>
          <w:szCs w:val="32"/>
          <w:highlight w:val="none"/>
          <w:lang w:val="en-US" w:eastAsia="zh-CN"/>
        </w:rPr>
        <w:t>长期护理</w:t>
      </w:r>
      <w:r>
        <w:rPr>
          <w:rFonts w:hint="eastAsia" w:ascii="仿宋_GB2312" w:hAnsi="仿宋_GB2312" w:eastAsia="仿宋_GB2312" w:cs="仿宋_GB2312"/>
          <w:color w:val="auto"/>
          <w:kern w:val="0"/>
          <w:sz w:val="32"/>
          <w:szCs w:val="32"/>
          <w:highlight w:val="none"/>
        </w:rPr>
        <w:t>信息系统、监管平台软硬件配置和改造，</w:t>
      </w:r>
      <w:r>
        <w:rPr>
          <w:rFonts w:hint="eastAsia" w:ascii="仿宋_GB2312" w:hAnsi="仿宋_GB2312" w:eastAsia="仿宋_GB2312" w:cs="仿宋_GB2312"/>
          <w:color w:val="auto"/>
          <w:kern w:val="0"/>
          <w:sz w:val="32"/>
          <w:szCs w:val="32"/>
          <w:highlight w:val="none"/>
          <w:lang w:val="en-US" w:eastAsia="zh-CN"/>
        </w:rPr>
        <w:t>长期护理信息</w:t>
      </w:r>
      <w:r>
        <w:rPr>
          <w:rFonts w:hint="eastAsia" w:ascii="仿宋_GB2312" w:hAnsi="仿宋_GB2312" w:eastAsia="仿宋_GB2312" w:cs="仿宋_GB2312"/>
          <w:color w:val="auto"/>
          <w:kern w:val="0"/>
          <w:sz w:val="32"/>
          <w:szCs w:val="32"/>
          <w:highlight w:val="none"/>
        </w:rPr>
        <w:t>网络接入等各项工作，并通过</w:t>
      </w:r>
      <w:r>
        <w:rPr>
          <w:rFonts w:hint="eastAsia" w:ascii="仿宋_GB2312" w:hAnsi="仿宋_GB2312" w:eastAsia="仿宋_GB2312" w:cs="仿宋_GB2312"/>
          <w:color w:val="auto"/>
          <w:kern w:val="0"/>
          <w:sz w:val="32"/>
          <w:szCs w:val="32"/>
          <w:highlight w:val="none"/>
          <w:lang w:eastAsia="zh-CN"/>
        </w:rPr>
        <w:t>信息部门和</w:t>
      </w:r>
      <w:r>
        <w:rPr>
          <w:rFonts w:hint="eastAsia" w:ascii="仿宋_GB2312" w:hAnsi="仿宋_GB2312" w:eastAsia="仿宋_GB2312" w:cs="仿宋_GB2312"/>
          <w:color w:val="auto"/>
          <w:kern w:val="0"/>
          <w:sz w:val="32"/>
          <w:szCs w:val="32"/>
          <w:highlight w:val="none"/>
        </w:rPr>
        <w:t>经办机构验收。</w:t>
      </w:r>
    </w:p>
    <w:p>
      <w:pPr>
        <w:keepNext w:val="0"/>
        <w:keepLines w:val="0"/>
        <w:pageBreakBefore w:val="0"/>
        <w:widowControl w:val="0"/>
        <w:kinsoku/>
        <w:wordWrap/>
        <w:overflowPunct w:val="0"/>
        <w:topLinePunct w:val="0"/>
        <w:bidi w:val="0"/>
        <w:snapToGrid/>
        <w:spacing w:line="550" w:lineRule="exact"/>
        <w:ind w:left="0" w:leftChars="0"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培训考核及信息验收工作应在评估通过后的3个月内完成，护理机构因自身原因未在规定时间内按要求完成签约前准备工作的，该机构本次纳入护理定点的申请无效，经办机构不得与该护理机构签订服务协议。</w:t>
      </w:r>
    </w:p>
    <w:p>
      <w:pPr>
        <w:keepNext w:val="0"/>
        <w:keepLines w:val="0"/>
        <w:pageBreakBefore w:val="0"/>
        <w:widowControl w:val="0"/>
        <w:shd w:val="clear" w:color="auto" w:fill="FFFFFF"/>
        <w:kinsoku/>
        <w:wordWrap/>
        <w:overflowPunct w:val="0"/>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经办机构应当指导并协助护理机构完成签约前的准备工作，并及时与护理机构签订服务协议，纳入定点护理服务协议管理。护理机构因自身原因在符合服务协议签订条件后的10个工作日内未签订服务协议的，视作自动放弃。</w:t>
      </w:r>
      <w:r>
        <w:rPr>
          <w:rFonts w:hint="eastAsia" w:ascii="仿宋_GB2312" w:hAnsi="仿宋_GB2312" w:eastAsia="仿宋_GB2312" w:cs="仿宋_GB2312"/>
          <w:color w:val="auto"/>
          <w:kern w:val="2"/>
          <w:sz w:val="32"/>
          <w:szCs w:val="32"/>
          <w:highlight w:val="none"/>
          <w:lang w:val="en-US" w:eastAsia="zh-CN" w:bidi="ar-SA"/>
        </w:rPr>
        <w:t>服务协议应明确各方权利、义务和责任，并严格执行协议约定。协议期限一般为</w:t>
      </w:r>
      <w:r>
        <w:rPr>
          <w:rFonts w:hint="eastAsia" w:ascii="Times New Roman" w:hAnsi="Times New Roman"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en-US" w:eastAsia="zh-CN" w:bidi="ar-SA"/>
        </w:rPr>
        <w:t>年，首次签订为1年。</w:t>
      </w:r>
    </w:p>
    <w:p>
      <w:pPr>
        <w:pStyle w:val="7"/>
        <w:keepNext w:val="0"/>
        <w:keepLines w:val="0"/>
        <w:pageBreakBefore w:val="0"/>
        <w:kinsoku/>
        <w:wordWrap/>
        <w:topLinePunct w:val="0"/>
        <w:autoSpaceDE w:val="0"/>
        <w:autoSpaceDN w:val="0"/>
        <w:bidi w:val="0"/>
        <w:adjustRightInd w:val="0"/>
        <w:snapToGrid/>
        <w:spacing w:line="55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续签应由定点护理机构于服务协议期满前3个月向辖区经办机构提出申请或由辖区经办机构统一组织。辖区经办机构与定点护理机构就医保协议续签事宜进行协商谈判，在市级经办机构的监督下，双方根据医保协议履行情况和绩效考核情况等决定是否续签。协商一致的，可续签双方医保协议；未达成一致的，医保协议到期后自动终止。</w:t>
      </w:r>
    </w:p>
    <w:p>
      <w:pPr>
        <w:keepNext w:val="0"/>
        <w:keepLines w:val="0"/>
        <w:pageBreakBefore w:val="0"/>
        <w:widowControl w:val="0"/>
        <w:shd w:val="clear" w:color="auto" w:fill="FFFFFF"/>
        <w:kinsoku/>
        <w:wordWrap/>
        <w:overflowPunct w:val="0"/>
        <w:topLinePunct w:val="0"/>
        <w:bidi w:val="0"/>
        <w:snapToGrid/>
        <w:spacing w:line="550" w:lineRule="exact"/>
        <w:ind w:left="0" w:leftChars="0"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zh-CN" w:eastAsia="zh-CN"/>
        </w:rPr>
        <w:t>经办机构与</w:t>
      </w:r>
      <w:r>
        <w:rPr>
          <w:rFonts w:hint="eastAsia" w:ascii="仿宋_GB2312" w:hAnsi="仿宋_GB2312" w:eastAsia="仿宋_GB2312" w:cs="仿宋_GB2312"/>
          <w:color w:val="auto"/>
          <w:sz w:val="32"/>
          <w:szCs w:val="32"/>
          <w:highlight w:val="none"/>
          <w:lang w:val="en-US" w:eastAsia="zh-CN"/>
        </w:rPr>
        <w:t>护理</w:t>
      </w:r>
      <w:r>
        <w:rPr>
          <w:rFonts w:hint="eastAsia" w:ascii="仿宋_GB2312" w:hAnsi="仿宋_GB2312" w:eastAsia="仿宋_GB2312" w:cs="仿宋_GB2312"/>
          <w:color w:val="auto"/>
          <w:sz w:val="32"/>
          <w:szCs w:val="32"/>
          <w:highlight w:val="none"/>
          <w:lang w:val="zh-CN" w:eastAsia="zh-CN"/>
        </w:rPr>
        <w:t>机构</w:t>
      </w:r>
      <w:r>
        <w:rPr>
          <w:rFonts w:hint="eastAsia" w:ascii="仿宋_GB2312" w:hAnsi="仿宋_GB2312" w:eastAsia="仿宋_GB2312" w:cs="仿宋_GB2312"/>
          <w:color w:val="auto"/>
          <w:sz w:val="32"/>
          <w:szCs w:val="32"/>
          <w:highlight w:val="none"/>
          <w:lang w:val="en-US" w:eastAsia="zh-CN"/>
        </w:rPr>
        <w:t>在定点确定、协议签订过程中发生的</w:t>
      </w:r>
      <w:r>
        <w:rPr>
          <w:rFonts w:hint="eastAsia" w:ascii="仿宋_GB2312" w:hAnsi="仿宋_GB2312" w:eastAsia="仿宋_GB2312" w:cs="仿宋_GB2312"/>
          <w:color w:val="auto"/>
          <w:sz w:val="32"/>
          <w:szCs w:val="32"/>
          <w:highlight w:val="none"/>
          <w:lang w:val="zh-CN" w:eastAsia="zh-CN"/>
        </w:rPr>
        <w:t>争议，</w:t>
      </w:r>
      <w:r>
        <w:rPr>
          <w:rFonts w:hint="eastAsia" w:ascii="仿宋_GB2312" w:hAnsi="仿宋_GB2312" w:eastAsia="仿宋_GB2312" w:cs="仿宋_GB2312"/>
          <w:color w:val="auto"/>
          <w:sz w:val="32"/>
          <w:szCs w:val="32"/>
          <w:highlight w:val="none"/>
          <w:lang w:val="en-US" w:eastAsia="zh-CN"/>
        </w:rPr>
        <w:t>可以采取自行协商解决或要求同级医保行政部门协调解决。仍无法解决的，可提起行政复议或行政诉讼。</w:t>
      </w:r>
    </w:p>
    <w:p>
      <w:pPr>
        <w:keepNext w:val="0"/>
        <w:keepLines w:val="0"/>
        <w:pageBreakBefore w:val="0"/>
        <w:widowControl w:val="0"/>
        <w:shd w:val="clear" w:color="auto" w:fill="FFFFFF"/>
        <w:kinsoku/>
        <w:wordWrap/>
        <w:overflowPunct w:val="0"/>
        <w:topLinePunct w:val="0"/>
        <w:bidi w:val="0"/>
        <w:snapToGrid/>
        <w:spacing w:line="550" w:lineRule="exact"/>
        <w:ind w:left="0" w:leftChars="0" w:firstLine="640" w:firstLineChars="200"/>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九、动态管理</w:t>
      </w:r>
    </w:p>
    <w:p>
      <w:pPr>
        <w:keepNext w:val="0"/>
        <w:keepLines w:val="0"/>
        <w:pageBreakBefore w:val="0"/>
        <w:widowControl w:val="0"/>
        <w:shd w:val="clear" w:color="auto" w:fill="FFFFFF"/>
        <w:kinsoku/>
        <w:wordWrap/>
        <w:overflowPunct w:val="0"/>
        <w:topLinePunct w:val="0"/>
        <w:bidi w:val="0"/>
        <w:snapToGrid/>
        <w:spacing w:line="550" w:lineRule="exact"/>
        <w:ind w:left="0" w:leftChars="0" w:firstLine="640" w:firstLineChars="200"/>
        <w:textAlignment w:val="auto"/>
        <w:rPr>
          <w:rFonts w:hint="eastAsia" w:ascii="仿宋_GB2312" w:hAnsi="仿宋_GB2312" w:eastAsia="仿宋_GB2312" w:cs="仿宋_GB2312"/>
          <w:b w:val="0"/>
          <w:bCs w:val="0"/>
          <w:color w:val="auto"/>
          <w:kern w:val="0"/>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（一）定点护理机构</w:t>
      </w:r>
      <w:r>
        <w:rPr>
          <w:rFonts w:hint="eastAsia" w:ascii="仿宋" w:hAnsi="仿宋" w:eastAsia="仿宋" w:cs="仿宋"/>
          <w:color w:val="auto"/>
          <w:kern w:val="0"/>
          <w:sz w:val="32"/>
          <w:szCs w:val="32"/>
          <w:highlight w:val="none"/>
        </w:rPr>
        <w:t>违反服务协议的，</w:t>
      </w:r>
      <w:r>
        <w:rPr>
          <w:rFonts w:hint="eastAsia" w:ascii="仿宋" w:hAnsi="仿宋" w:eastAsia="仿宋" w:cs="仿宋"/>
          <w:color w:val="auto"/>
          <w:kern w:val="0"/>
          <w:sz w:val="32"/>
          <w:szCs w:val="32"/>
          <w:highlight w:val="none"/>
          <w:lang w:eastAsia="zh-CN"/>
        </w:rPr>
        <w:t>经办机构</w:t>
      </w:r>
      <w:r>
        <w:rPr>
          <w:rFonts w:hint="eastAsia" w:ascii="仿宋" w:hAnsi="仿宋" w:eastAsia="仿宋" w:cs="仿宋"/>
          <w:color w:val="auto"/>
          <w:kern w:val="0"/>
          <w:sz w:val="32"/>
          <w:szCs w:val="32"/>
          <w:highlight w:val="none"/>
        </w:rPr>
        <w:t>可要求限期整改或暂停协议，违规情节严重的报医疗保障行政部门同意后解除服务协议。</w:t>
      </w:r>
    </w:p>
    <w:p>
      <w:pPr>
        <w:pStyle w:val="7"/>
        <w:keepNext w:val="0"/>
        <w:keepLines w:val="0"/>
        <w:pageBreakBefore w:val="0"/>
        <w:widowControl w:val="0"/>
        <w:kinsoku/>
        <w:wordWrap/>
        <w:overflowPunct/>
        <w:topLinePunct w:val="0"/>
        <w:autoSpaceDE w:val="0"/>
        <w:autoSpaceDN w:val="0"/>
        <w:bidi w:val="0"/>
        <w:adjustRightInd w:val="0"/>
        <w:snapToGrid/>
        <w:spacing w:after="0"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二）定点护理机构经相关职能部门批准变更单位名称、法定代表人、主要负责人或实际控制人、注册地址、机构性质、机构规模、等级和类别等重大信息的，应自有关部门批准之日起30个工作日内向辖区经办机构提出变更申请，由辖区经办机构根据相关规定核查后向市级经办机构报备，其他一般信息变更应及时书面告知。</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新增定点护理机构签订服务协议后三年内变更地址的，原协议终止，须重新申请定点（政府公共事业建设、拆迁除外）。三年后，定点护理机构在原辖区内地址变更的，应自有关部门批准之日起30个工作日内向辖区经办机构提出变更申请，经办机构应参照《评估表》各项要求重新考核，给符合要求的机构办理变更手续；</w:t>
      </w:r>
      <w:r>
        <w:rPr>
          <w:rFonts w:hint="eastAsia" w:ascii="仿宋_GB2312" w:hAnsi="仿宋_GB2312" w:eastAsia="仿宋_GB2312" w:cs="仿宋_GB2312"/>
          <w:color w:val="auto"/>
          <w:kern w:val="2"/>
          <w:sz w:val="32"/>
          <w:szCs w:val="32"/>
          <w:highlight w:val="none"/>
          <w:lang w:val="en-US" w:eastAsia="zh-CN" w:bidi="ar-SA"/>
        </w:rPr>
        <w:t>未按规定备案的，经办机构终止其服务协议。</w:t>
      </w:r>
      <w:r>
        <w:rPr>
          <w:rFonts w:hint="eastAsia" w:ascii="仿宋_GB2312" w:hAnsi="仿宋_GB2312" w:eastAsia="仿宋_GB2312" w:cs="仿宋_GB2312"/>
          <w:b w:val="0"/>
          <w:bCs w:val="0"/>
          <w:color w:val="auto"/>
          <w:sz w:val="32"/>
          <w:szCs w:val="32"/>
          <w:highlight w:val="none"/>
          <w:lang w:val="en-US" w:eastAsia="zh-CN"/>
        </w:rPr>
        <w:t xml:space="preserve">定点护理机构因违规被调查、处理期间不得申请变更信息。 </w:t>
      </w:r>
    </w:p>
    <w:p>
      <w:pPr>
        <w:keepNext w:val="0"/>
        <w:keepLines w:val="0"/>
        <w:pageBreakBefore w:val="0"/>
        <w:numPr>
          <w:ilvl w:val="0"/>
          <w:numId w:val="0"/>
        </w:numPr>
        <w:kinsoku/>
        <w:wordWrap/>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定点护理机构跨辖区地址变更的，原服务协议终止，护理机构应按本细则向新管辖地经办机构重新申请长期护理服务定点。</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三）医保经办机构与定点护理机构可依据国家、省、市相关规定及定点服务协议暂停履行服务协议约定，暂停期间发生的护理服务项目费用不予结算。定点护理机构可提出中止服务协议申请，经经办机构同意，可以中止服务协议但中止时间原则上不得超过180日，定点护理机构在服务协议中止超过180日仍未提出继续履行服务协议申请的，原则上服务协议自动终止。</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定点护理机构及其工作人员发生违反国家、省、市相关规定被医保管理部门立案调查且拒不配合、被移交司法部门，医保经办机构应及时暂停与定点护理机构之间的服务协议，直至结案，再按结案结果进一步处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医疗保障行政部门和经办机构应拓宽监督途径、创新监督方式，通过第三方评价、聘请社会监督员等方式对定点护理机构确定工作进行社会监督，畅通举报投诉渠道，及时发现问题并进行处理。</w:t>
      </w:r>
    </w:p>
    <w:p>
      <w:pPr>
        <w:pStyle w:val="7"/>
        <w:keepNext w:val="0"/>
        <w:keepLines w:val="0"/>
        <w:pageBreakBefore w:val="0"/>
        <w:kinsoku/>
        <w:wordWrap/>
        <w:topLinePunct w:val="0"/>
        <w:bidi w:val="0"/>
        <w:snapToGrid/>
        <w:spacing w:line="550" w:lineRule="exact"/>
        <w:textAlignment w:val="auto"/>
        <w:rPr>
          <w:rFonts w:hint="eastAsia"/>
          <w:color w:val="auto"/>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（四）定点护理机构</w:t>
      </w:r>
      <w:r>
        <w:rPr>
          <w:rFonts w:hint="default" w:ascii="仿宋_GB2312" w:hAnsi="仿宋_GB2312" w:eastAsia="仿宋_GB2312" w:cs="仿宋_GB2312"/>
          <w:b w:val="0"/>
          <w:bCs w:val="0"/>
          <w:color w:val="auto"/>
          <w:sz w:val="32"/>
          <w:szCs w:val="32"/>
          <w:highlight w:val="none"/>
          <w:lang w:eastAsia="zh-CN"/>
        </w:rPr>
        <w:t>被</w:t>
      </w:r>
      <w:r>
        <w:rPr>
          <w:rFonts w:hint="eastAsia" w:ascii="仿宋_GB2312" w:hAnsi="仿宋_GB2312" w:eastAsia="仿宋_GB2312" w:cs="仿宋_GB2312"/>
          <w:b w:val="0"/>
          <w:bCs w:val="0"/>
          <w:color w:val="auto"/>
          <w:sz w:val="32"/>
          <w:szCs w:val="32"/>
          <w:highlight w:val="none"/>
          <w:lang w:val="en-US" w:eastAsia="zh-CN"/>
        </w:rPr>
        <w:t>暂停或解除定点护理服务协议的，应及时妥善处理原协议的长护险参保人，并做好解释工作。</w:t>
      </w:r>
    </w:p>
    <w:p>
      <w:pPr>
        <w:keepNext w:val="0"/>
        <w:keepLines w:val="0"/>
        <w:pageBreakBefore w:val="0"/>
        <w:widowControl w:val="0"/>
        <w:numPr>
          <w:ilvl w:val="0"/>
          <w:numId w:val="0"/>
        </w:numPr>
        <w:kinsoku/>
        <w:wordWrap/>
        <w:topLinePunct w:val="0"/>
        <w:bidi w:val="0"/>
        <w:snapToGrid/>
        <w:spacing w:line="550" w:lineRule="exact"/>
        <w:ind w:firstLine="640" w:firstLineChars="200"/>
        <w:jc w:val="both"/>
        <w:textAlignment w:val="auto"/>
        <w:rPr>
          <w:rFonts w:hint="eastAsia" w:ascii="黑体" w:hAnsi="黑体" w:eastAsia="黑体" w:cs="黑体"/>
          <w:color w:val="auto"/>
          <w:sz w:val="32"/>
          <w:szCs w:val="32"/>
          <w:highlight w:val="none"/>
          <w:lang w:eastAsia="zh-CN"/>
        </w:rPr>
      </w:pPr>
      <w:r>
        <w:rPr>
          <w:rFonts w:hint="eastAsia" w:ascii="黑体" w:hAnsi="黑体" w:eastAsia="黑体" w:cs="黑体"/>
          <w:b w:val="0"/>
          <w:bCs w:val="0"/>
          <w:color w:val="auto"/>
          <w:sz w:val="32"/>
          <w:szCs w:val="32"/>
          <w:highlight w:val="none"/>
          <w:lang w:val="en-US" w:eastAsia="zh-CN"/>
        </w:rPr>
        <w:t>十、其他</w:t>
      </w:r>
    </w:p>
    <w:p>
      <w:pPr>
        <w:keepNext w:val="0"/>
        <w:keepLines w:val="0"/>
        <w:pageBreakBefore w:val="0"/>
        <w:widowControl w:val="0"/>
        <w:numPr>
          <w:ilvl w:val="0"/>
          <w:numId w:val="0"/>
        </w:numPr>
        <w:kinsoku/>
        <w:wordWrap/>
        <w:topLinePunct w:val="0"/>
        <w:bidi w:val="0"/>
        <w:snapToGrid/>
        <w:spacing w:line="55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rPr>
        <w:t>本</w:t>
      </w:r>
      <w:r>
        <w:rPr>
          <w:rFonts w:hint="eastAsia" w:ascii="仿宋_GB2312" w:hAnsi="仿宋_GB2312" w:eastAsia="仿宋_GB2312" w:cs="仿宋_GB2312"/>
          <w:b w:val="0"/>
          <w:bCs w:val="0"/>
          <w:color w:val="auto"/>
          <w:sz w:val="32"/>
          <w:szCs w:val="32"/>
          <w:highlight w:val="none"/>
          <w:lang w:val="en-US" w:eastAsia="zh-CN"/>
        </w:rPr>
        <w:t>实施细则（试行）由市医疗保障局负责解释，《温州市长期护理保险协议定点护理服务机构管理办理（试行）》（温医保发〔2019〕7号）同时废止。</w:t>
      </w:r>
    </w:p>
    <w:p>
      <w:pPr>
        <w:keepNext w:val="0"/>
        <w:keepLines w:val="0"/>
        <w:pageBreakBefore w:val="0"/>
        <w:widowControl w:val="0"/>
        <w:numPr>
          <w:ilvl w:val="0"/>
          <w:numId w:val="0"/>
        </w:numPr>
        <w:kinsoku/>
        <w:wordWrap/>
        <w:topLinePunct w:val="0"/>
        <w:bidi w:val="0"/>
        <w:snapToGrid/>
        <w:spacing w:line="550" w:lineRule="exact"/>
        <w:ind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原存量定点护理机构需由辖区经办机构在6个月内根据《评估表》进行现场核查，未达到120分的予以解除医保服务协议。</w:t>
      </w:r>
    </w:p>
    <w:p>
      <w:pPr>
        <w:pStyle w:val="7"/>
        <w:keepNext w:val="0"/>
        <w:keepLines w:val="0"/>
        <w:pageBreakBefore w:val="0"/>
        <w:widowControl w:val="0"/>
        <w:kinsoku/>
        <w:wordWrap/>
        <w:topLinePunct w:val="0"/>
        <w:bidi w:val="0"/>
        <w:snapToGrid/>
        <w:spacing w:after="0" w:line="550" w:lineRule="exact"/>
        <w:ind w:left="0" w:leftChars="0" w:firstLine="640" w:firstLineChars="200"/>
        <w:textAlignment w:val="auto"/>
        <w:rPr>
          <w:rFonts w:hint="eastAsia" w:ascii="仿宋" w:hAnsi="仿宋" w:eastAsia="仿宋" w:cs="仿宋"/>
          <w:color w:val="auto"/>
          <w:sz w:val="32"/>
          <w:szCs w:val="32"/>
          <w:highlight w:val="none"/>
          <w:lang w:val="en-US" w:eastAsia="zh-CN"/>
        </w:rPr>
      </w:pPr>
    </w:p>
    <w:p>
      <w:pPr>
        <w:pStyle w:val="7"/>
        <w:keepNext w:val="0"/>
        <w:keepLines w:val="0"/>
        <w:pageBreakBefore w:val="0"/>
        <w:widowControl w:val="0"/>
        <w:numPr>
          <w:ilvl w:val="0"/>
          <w:numId w:val="0"/>
        </w:numPr>
        <w:kinsoku/>
        <w:wordWrap/>
        <w:topLinePunct w:val="0"/>
        <w:bidi w:val="0"/>
        <w:snapToGrid/>
        <w:spacing w:after="0" w:line="550" w:lineRule="exact"/>
        <w:ind w:left="0" w:leftChars="0"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附件：1.温州市新增定点护理机构协议申报流程</w:t>
      </w:r>
    </w:p>
    <w:p>
      <w:pPr>
        <w:pStyle w:val="7"/>
        <w:keepNext w:val="0"/>
        <w:keepLines w:val="0"/>
        <w:pageBreakBefore w:val="0"/>
        <w:widowControl w:val="0"/>
        <w:numPr>
          <w:ilvl w:val="0"/>
          <w:numId w:val="0"/>
        </w:numPr>
        <w:kinsoku/>
        <w:wordWrap/>
        <w:topLinePunct w:val="0"/>
        <w:bidi w:val="0"/>
        <w:snapToGrid/>
        <w:spacing w:after="0" w:line="550" w:lineRule="exact"/>
        <w:ind w:left="1916" w:leftChars="760" w:hanging="320" w:hangingChars="1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2.</w:t>
      </w:r>
      <w:r>
        <w:rPr>
          <w:rFonts w:hint="eastAsia" w:ascii="仿宋_GB2312" w:hAnsi="仿宋_GB2312" w:eastAsia="仿宋_GB2312" w:cs="仿宋_GB2312"/>
          <w:color w:val="auto"/>
          <w:sz w:val="32"/>
          <w:szCs w:val="32"/>
          <w:highlight w:val="none"/>
          <w:lang w:val="en-US" w:eastAsia="zh-CN"/>
        </w:rPr>
        <w:t>温州市长期护理保险定点护理机构协议申请表</w:t>
      </w:r>
    </w:p>
    <w:p>
      <w:pPr>
        <w:pStyle w:val="7"/>
        <w:keepNext w:val="0"/>
        <w:keepLines w:val="0"/>
        <w:pageBreakBefore w:val="0"/>
        <w:widowControl w:val="0"/>
        <w:numPr>
          <w:ilvl w:val="0"/>
          <w:numId w:val="0"/>
        </w:numPr>
        <w:kinsoku/>
        <w:wordWrap/>
        <w:topLinePunct w:val="0"/>
        <w:bidi w:val="0"/>
        <w:snapToGrid/>
        <w:spacing w:after="0" w:line="550" w:lineRule="exact"/>
        <w:ind w:left="1916" w:leftChars="760" w:hanging="320" w:hangingChars="1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2"/>
          <w:sz w:val="32"/>
          <w:szCs w:val="32"/>
          <w:highlight w:val="none"/>
          <w:lang w:val="en-US" w:eastAsia="zh-CN" w:bidi="ar-SA"/>
        </w:rPr>
        <w:t>3.</w:t>
      </w:r>
      <w:r>
        <w:rPr>
          <w:rFonts w:hint="eastAsia" w:ascii="仿宋_GB2312" w:hAnsi="仿宋_GB2312" w:eastAsia="仿宋_GB2312" w:cs="仿宋_GB2312"/>
          <w:color w:val="auto"/>
          <w:sz w:val="32"/>
          <w:szCs w:val="32"/>
          <w:highlight w:val="none"/>
          <w:lang w:val="en-US" w:eastAsia="zh-CN"/>
        </w:rPr>
        <w:t>温州市长期护理保险全日入住类定点护理机构评估表</w:t>
      </w:r>
    </w:p>
    <w:p>
      <w:pPr>
        <w:pStyle w:val="7"/>
        <w:keepNext w:val="0"/>
        <w:keepLines w:val="0"/>
        <w:pageBreakBefore w:val="0"/>
        <w:widowControl w:val="0"/>
        <w:numPr>
          <w:ilvl w:val="0"/>
          <w:numId w:val="0"/>
        </w:numPr>
        <w:kinsoku/>
        <w:wordWrap/>
        <w:topLinePunct w:val="0"/>
        <w:bidi w:val="0"/>
        <w:snapToGrid/>
        <w:spacing w:after="0" w:line="550" w:lineRule="exact"/>
        <w:ind w:left="2236" w:leftChars="760" w:hanging="640" w:hanging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4.温州市长期护理保险居家上门类定点护理机</w:t>
      </w:r>
    </w:p>
    <w:p>
      <w:pPr>
        <w:pStyle w:val="7"/>
        <w:keepNext w:val="0"/>
        <w:keepLines w:val="0"/>
        <w:pageBreakBefore w:val="0"/>
        <w:widowControl w:val="0"/>
        <w:numPr>
          <w:ilvl w:val="0"/>
          <w:numId w:val="0"/>
        </w:numPr>
        <w:kinsoku/>
        <w:wordWrap/>
        <w:topLinePunct w:val="0"/>
        <w:bidi w:val="0"/>
        <w:snapToGrid/>
        <w:spacing w:after="0" w:line="550" w:lineRule="exact"/>
        <w:ind w:left="2235" w:leftChars="912" w:hanging="320" w:hangingChars="100"/>
        <w:jc w:val="both"/>
        <w:textAlignment w:val="auto"/>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构评估表</w:t>
      </w:r>
    </w:p>
    <w:p>
      <w:pPr>
        <w:keepNext w:val="0"/>
        <w:keepLines w:val="0"/>
        <w:pageBreakBefore w:val="0"/>
        <w:kinsoku/>
        <w:wordWrap/>
        <w:topLinePunct w:val="0"/>
        <w:bidi w:val="0"/>
        <w:spacing w:line="560" w:lineRule="exact"/>
        <w:textAlignment w:val="auto"/>
        <w:rPr>
          <w:rFonts w:hint="eastAsia" w:ascii="Times New Roman" w:hAnsi="黑体" w:eastAsia="黑体" w:cs="Times New Roman"/>
          <w:color w:val="auto"/>
          <w:kern w:val="2"/>
          <w:sz w:val="32"/>
          <w:szCs w:val="32"/>
          <w:highlight w:val="none"/>
          <w:lang w:val="en-US" w:eastAsia="zh-CN" w:bidi="ar-SA"/>
        </w:rPr>
      </w:pPr>
      <w:r>
        <w:rPr>
          <w:rFonts w:hint="eastAsia" w:ascii="Times New Roman" w:hAnsi="黑体" w:eastAsia="黑体" w:cs="Times New Roman"/>
          <w:color w:val="auto"/>
          <w:kern w:val="2"/>
          <w:sz w:val="32"/>
          <w:szCs w:val="32"/>
          <w:highlight w:val="none"/>
          <w:lang w:val="en-US" w:eastAsia="zh-CN" w:bidi="ar-SA"/>
        </w:rPr>
        <w:br w:type="page"/>
      </w:r>
    </w:p>
    <w:p>
      <w:pPr>
        <w:keepNext w:val="0"/>
        <w:keepLines w:val="0"/>
        <w:pageBreakBefore w:val="0"/>
        <w:kinsoku/>
        <w:wordWrap/>
        <w:topLinePunct w:val="0"/>
        <w:bidi w:val="0"/>
        <w:spacing w:line="560" w:lineRule="exact"/>
        <w:textAlignment w:val="auto"/>
        <w:rPr>
          <w:rFonts w:hint="eastAsia"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附件1</w:t>
      </w:r>
    </w:p>
    <w:p>
      <w:pPr>
        <w:keepNext w:val="0"/>
        <w:keepLines w:val="0"/>
        <w:pageBreakBefore w:val="0"/>
        <w:widowControl w:val="0"/>
        <w:kinsoku/>
        <w:wordWrap/>
        <w:topLinePunct w:val="0"/>
        <w:autoSpaceDE/>
        <w:autoSpaceDN/>
        <w:bidi w:val="0"/>
        <w:snapToGrid/>
        <w:spacing w:line="550" w:lineRule="exact"/>
        <w:ind w:left="0" w:leftChars="0" w:firstLine="640" w:firstLineChars="200"/>
        <w:jc w:val="center"/>
        <w:textAlignment w:val="auto"/>
        <w:rPr>
          <w:rFonts w:hint="eastAsia" w:ascii="方正仿宋_GB2312" w:hAnsi="方正仿宋_GB2312" w:eastAsia="方正仿宋_GB2312" w:cs="方正仿宋_GB2312"/>
          <w:color w:val="auto"/>
          <w:sz w:val="32"/>
          <w:szCs w:val="32"/>
          <w:highlight w:val="none"/>
        </w:rPr>
      </w:pPr>
    </w:p>
    <w:p>
      <w:pPr>
        <w:keepNext w:val="0"/>
        <w:keepLines w:val="0"/>
        <w:pageBreakBefore w:val="0"/>
        <w:widowControl w:val="0"/>
        <w:kinsoku/>
        <w:wordWrap/>
        <w:overflowPunct w:val="0"/>
        <w:topLinePunct w:val="0"/>
        <w:autoSpaceDE/>
        <w:autoSpaceDN/>
        <w:bidi w:val="0"/>
        <w:adjustRightInd w:val="0"/>
        <w:snapToGrid w:val="0"/>
        <w:spacing w:line="550" w:lineRule="exact"/>
        <w:jc w:val="center"/>
        <w:textAlignment w:val="auto"/>
        <w:rPr>
          <w:rFonts w:hint="eastAsia" w:ascii="方正小标宋简体" w:hAnsi="方正小标宋简体" w:eastAsia="方正小标宋简体" w:cs="方正小标宋简体"/>
          <w:b w:val="0"/>
          <w:bCs/>
          <w:color w:val="auto"/>
          <w:kern w:val="0"/>
          <w:sz w:val="44"/>
          <w:szCs w:val="44"/>
          <w:highlight w:val="none"/>
        </w:rPr>
      </w:pPr>
      <w:r>
        <w:rPr>
          <w:rFonts w:hint="eastAsia" w:ascii="方正小标宋简体" w:hAnsi="方正小标宋简体" w:eastAsia="方正小标宋简体" w:cs="方正小标宋简体"/>
          <w:b w:val="0"/>
          <w:bCs/>
          <w:color w:val="auto"/>
          <w:kern w:val="0"/>
          <w:sz w:val="44"/>
          <w:szCs w:val="44"/>
          <w:highlight w:val="none"/>
        </w:rPr>
        <w:t>温州市新增定点</w:t>
      </w:r>
      <w:r>
        <w:rPr>
          <w:rFonts w:hint="eastAsia" w:ascii="方正小标宋简体" w:hAnsi="方正小标宋简体" w:eastAsia="方正小标宋简体" w:cs="方正小标宋简体"/>
          <w:b w:val="0"/>
          <w:bCs/>
          <w:color w:val="auto"/>
          <w:kern w:val="0"/>
          <w:sz w:val="44"/>
          <w:szCs w:val="44"/>
          <w:highlight w:val="none"/>
          <w:lang w:val="en-US" w:eastAsia="zh-CN"/>
        </w:rPr>
        <w:t>护理</w:t>
      </w:r>
      <w:r>
        <w:rPr>
          <w:rFonts w:hint="eastAsia" w:ascii="方正小标宋简体" w:hAnsi="方正小标宋简体" w:eastAsia="方正小标宋简体" w:cs="方正小标宋简体"/>
          <w:b w:val="0"/>
          <w:bCs/>
          <w:color w:val="auto"/>
          <w:kern w:val="0"/>
          <w:sz w:val="44"/>
          <w:szCs w:val="44"/>
          <w:highlight w:val="none"/>
        </w:rPr>
        <w:t>机构协议申报流程</w:t>
      </w:r>
    </w:p>
    <w:p>
      <w:pPr>
        <w:keepNext w:val="0"/>
        <w:keepLines w:val="0"/>
        <w:pageBreakBefore w:val="0"/>
        <w:widowControl w:val="0"/>
        <w:kinsoku/>
        <w:wordWrap/>
        <w:topLinePunct w:val="0"/>
        <w:autoSpaceDE/>
        <w:autoSpaceDN/>
        <w:bidi w:val="0"/>
        <w:snapToGrid/>
        <w:spacing w:line="550" w:lineRule="exact"/>
        <w:ind w:left="0" w:leftChars="0" w:firstLine="640" w:firstLineChars="200"/>
        <w:textAlignment w:val="auto"/>
        <w:rPr>
          <w:rFonts w:hint="eastAsia" w:ascii="方正仿宋_GB2312" w:hAnsi="方正仿宋_GB2312" w:eastAsia="方正仿宋_GB2312" w:cs="方正仿宋_GB2312"/>
          <w:color w:val="auto"/>
          <w:sz w:val="32"/>
          <w:szCs w:val="32"/>
          <w:highlight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按照定期发布的申报公告，申请定点的护理机构根据自身服务能力，自愿向管辖的经办机构提出申请签订服务协议。申报流程如下：</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一、受理申请</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各辖区医保经办机构原则上每年3月、6月、9月、12月前5个工作日集中受理护理机构定点申请，并对申请材料进行初审，材料齐全的予以受理，材料不齐或不符合条件的，应自收到材料之日起5个工作日内一次性告知护理机构。护理机构应自收到材料补正通知之日起5个工作日内补正，逾期不补正的视作放弃申请，须3个月后方可再次申请。</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二、现场审核</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集中受理期结束后，经办机构应组织核查人员，进行材料和现场审核，按照《评估表》对护理机构逐项打分，同时做好原件存档，复印件核对盖章，必要时影像资料、电子资料留底。原则上10个工作日内完成核查并提交评估小组综合评估。</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如申请单位现场打分表未达到120分或基础指标项有不合格项，应退出申报流程，各辖区医保经办机构需告知申请单位结果，打分表及材料由各辖区医保经办机构自行留底存档。</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三、组织评估</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市医保中心组织开展全市定点护理机构专家评估会议，并在评估会议结束后3个工作日内将评审结果反馈至各辖区医保经办机构。</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评估结果通过的，列入拟新增定点护理机构名单；评估结果不通过的，辖区经办机构应告知其理由。</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四、公示</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经办机构根据评估结果拟定</w:t>
      </w:r>
      <w:r>
        <w:rPr>
          <w:rFonts w:hint="eastAsia" w:ascii="仿宋_GB2312" w:hAnsi="仿宋_GB2312" w:eastAsia="仿宋_GB2312" w:cs="仿宋_GB2312"/>
          <w:color w:val="auto"/>
          <w:kern w:val="0"/>
          <w:sz w:val="32"/>
          <w:szCs w:val="32"/>
          <w:highlight w:val="none"/>
        </w:rPr>
        <w:t>拟新增定点</w:t>
      </w:r>
      <w:r>
        <w:rPr>
          <w:rFonts w:hint="eastAsia" w:ascii="仿宋_GB2312" w:hAnsi="仿宋_GB2312" w:eastAsia="仿宋_GB2312" w:cs="仿宋_GB2312"/>
          <w:color w:val="auto"/>
          <w:kern w:val="0"/>
          <w:sz w:val="32"/>
          <w:szCs w:val="32"/>
          <w:highlight w:val="none"/>
          <w:lang w:val="en-US" w:eastAsia="zh-CN"/>
        </w:rPr>
        <w:t>护理</w:t>
      </w:r>
      <w:r>
        <w:rPr>
          <w:rFonts w:hint="eastAsia" w:ascii="仿宋_GB2312" w:hAnsi="仿宋_GB2312" w:eastAsia="仿宋_GB2312" w:cs="仿宋_GB2312"/>
          <w:color w:val="auto"/>
          <w:kern w:val="0"/>
          <w:sz w:val="32"/>
          <w:szCs w:val="32"/>
          <w:highlight w:val="none"/>
          <w:lang w:eastAsia="zh-CN"/>
        </w:rPr>
        <w:t>机构</w:t>
      </w:r>
      <w:r>
        <w:rPr>
          <w:rFonts w:hint="eastAsia" w:ascii="仿宋_GB2312" w:hAnsi="仿宋_GB2312" w:eastAsia="仿宋_GB2312" w:cs="仿宋_GB2312"/>
          <w:color w:val="auto"/>
          <w:kern w:val="0"/>
          <w:sz w:val="32"/>
          <w:szCs w:val="32"/>
          <w:highlight w:val="none"/>
        </w:rPr>
        <w:t>名单</w:t>
      </w:r>
      <w:r>
        <w:rPr>
          <w:rFonts w:hint="eastAsia" w:ascii="仿宋_GB2312" w:hAnsi="仿宋_GB2312" w:eastAsia="仿宋_GB2312" w:cs="仿宋_GB2312"/>
          <w:b w:val="0"/>
          <w:bCs w:val="0"/>
          <w:color w:val="auto"/>
          <w:sz w:val="32"/>
          <w:szCs w:val="32"/>
          <w:highlight w:val="none"/>
          <w:lang w:val="en-US" w:eastAsia="zh-CN"/>
        </w:rPr>
        <w:t>，并向社会公示。公示时间为5个工作日。公示期满无异议的，列入拟签订护理服务协议的名单。公示期间有异议的，该护理机构所在经办机构应及时启动调查程序，核实情况。经调查举报情况属实的，应责令其整改；存在使用弄虚作假等不正当手段申请定点的，自发现之日起3年不得申请定点。经调查被举报单位符合定点申报要求的，应继续签约流程。</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五、培训考核</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经办机构应于公示结束后3个工作日内通知相关护理机构参加培训考核。护理机构应在接到培训通知后的2个工作日内将培训对象名单报医保经办机构，无特殊情况不得更换人员。经办机构应在收到名单后5个工作日内告知护理机构具体时间安排，并在培训结束后5个工作日内由经办机构组织考核，考核结束后3个工作日内公布考核合格名单。</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六、信息验收</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护理机构须按要求完成长期护理信息系统、监管平台软硬件配置和改造，长期护理信息网络接入等各项工作，并通过信息部门验收。</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信息部门凭公示无异议证明测试验收各申请单位信息系统，验收通过的出具信息系统验收通过单。</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七、签约开通</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护理机构凭信息部门出具的信息系统验收通过单与所辖医保经办机构协商签约，并开通长期护理结算。因护理机构自身原因10个工作日内未按时签订协议的，视为自动放弃本轮定点护理机构协议管理。</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八、备案</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firstLine="640" w:firstLineChars="200"/>
        <w:jc w:val="both"/>
        <w:textAlignment w:val="auto"/>
        <w:rPr>
          <w:rFonts w:hint="eastAsia" w:ascii="仿宋" w:hAnsi="仿宋" w:eastAsia="仿宋" w:cs="仿宋"/>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经办机构应向社会公布新增定点护理机构名单，并报同级医疗保障行政部门备案。</w:t>
      </w:r>
    </w:p>
    <w:p>
      <w:pPr>
        <w:pStyle w:val="7"/>
        <w:keepNext w:val="0"/>
        <w:keepLines w:val="0"/>
        <w:pageBreakBefore w:val="0"/>
        <w:kinsoku/>
        <w:wordWrap/>
        <w:topLinePunct w:val="0"/>
        <w:bidi w:val="0"/>
        <w:spacing w:line="560" w:lineRule="exact"/>
        <w:ind w:left="0" w:leftChars="0" w:firstLine="0" w:firstLineChars="0"/>
        <w:jc w:val="both"/>
        <w:textAlignment w:val="auto"/>
        <w:rPr>
          <w:rFonts w:hint="eastAsia" w:ascii="仿宋" w:hAnsi="仿宋" w:eastAsia="仿宋" w:cs="仿宋"/>
          <w:b w:val="0"/>
          <w:bCs w:val="0"/>
          <w:color w:val="auto"/>
          <w:sz w:val="32"/>
          <w:szCs w:val="32"/>
          <w:highlight w:val="none"/>
          <w:lang w:val="en-US" w:eastAsia="zh-CN"/>
        </w:rPr>
        <w:sectPr>
          <w:footerReference r:id="rId3" w:type="default"/>
          <w:pgSz w:w="11906" w:h="16838"/>
          <w:pgMar w:top="2098" w:right="1531" w:bottom="1984" w:left="1531" w:header="851" w:footer="1531" w:gutter="0"/>
          <w:pgBorders>
            <w:top w:val="none" w:sz="0" w:space="0"/>
            <w:left w:val="none" w:sz="0" w:space="0"/>
            <w:bottom w:val="none" w:sz="0" w:space="0"/>
            <w:right w:val="none" w:sz="0" w:space="0"/>
          </w:pgBorders>
          <w:pgNumType w:fmt="decimal" w:start="1"/>
          <w:cols w:space="720" w:num="1"/>
          <w:docGrid w:type="lines" w:linePitch="312" w:charSpace="0"/>
        </w:sectPr>
      </w:pPr>
    </w:p>
    <w:p>
      <w:pPr>
        <w:keepNext w:val="0"/>
        <w:keepLines w:val="0"/>
        <w:pageBreakBefore w:val="0"/>
        <w:widowControl/>
        <w:kinsoku/>
        <w:wordWrap/>
        <w:topLinePunct w:val="0"/>
        <w:bidi w:val="0"/>
        <w:adjustRightInd w:val="0"/>
        <w:snapToGrid w:val="0"/>
        <w:spacing w:line="240" w:lineRule="auto"/>
        <w:ind w:left="0" w:leftChars="0"/>
        <w:jc w:val="both"/>
        <w:textAlignment w:val="auto"/>
        <w:rPr>
          <w:rFonts w:hint="default"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附件2</w:t>
      </w:r>
    </w:p>
    <w:p>
      <w:pPr>
        <w:spacing w:before="71" w:line="312" w:lineRule="exact"/>
        <w:ind w:left="5519" w:leftChars="352" w:hanging="4780" w:hangingChars="1400"/>
        <w:rPr>
          <w:rFonts w:hint="eastAsia" w:ascii="宋体" w:hAnsi="宋体" w:eastAsia="宋体" w:cs="宋体"/>
          <w:b/>
          <w:bCs/>
          <w:color w:val="auto"/>
          <w:spacing w:val="-15"/>
          <w:sz w:val="37"/>
          <w:szCs w:val="37"/>
          <w:highlight w:val="none"/>
          <w:lang w:val="en-US" w:eastAsia="zh-CN"/>
        </w:rPr>
      </w:pPr>
      <w:bookmarkStart w:id="0" w:name="_bookmark16"/>
      <w:bookmarkEnd w:id="0"/>
    </w:p>
    <w:p>
      <w:pPr>
        <w:spacing w:before="71" w:line="312" w:lineRule="exact"/>
        <w:ind w:left="0" w:leftChars="0" w:firstLine="0" w:firstLineChars="0"/>
        <w:jc w:val="center"/>
        <w:rPr>
          <w:rFonts w:ascii="宋体" w:hAnsi="宋体" w:eastAsia="宋体" w:cs="宋体"/>
          <w:b/>
          <w:bCs/>
          <w:color w:val="auto"/>
          <w:spacing w:val="-15"/>
          <w:sz w:val="37"/>
          <w:szCs w:val="37"/>
          <w:highlight w:val="none"/>
        </w:rPr>
      </w:pPr>
      <w:r>
        <w:rPr>
          <w:rFonts w:hint="eastAsia" w:ascii="宋体" w:hAnsi="宋体" w:eastAsia="宋体" w:cs="宋体"/>
          <w:b/>
          <w:bCs/>
          <w:color w:val="auto"/>
          <w:spacing w:val="-15"/>
          <w:sz w:val="37"/>
          <w:szCs w:val="37"/>
          <w:highlight w:val="none"/>
          <w:lang w:val="en-US" w:eastAsia="zh-CN"/>
        </w:rPr>
        <w:t>温州市</w:t>
      </w:r>
      <w:r>
        <w:rPr>
          <w:rFonts w:ascii="宋体" w:hAnsi="宋体" w:eastAsia="宋体" w:cs="宋体"/>
          <w:b/>
          <w:bCs/>
          <w:color w:val="auto"/>
          <w:spacing w:val="-15"/>
          <w:sz w:val="37"/>
          <w:szCs w:val="37"/>
          <w:highlight w:val="none"/>
        </w:rPr>
        <w:t>长期护理保险定点护理机构协议管理申请</w:t>
      </w:r>
    </w:p>
    <w:p>
      <w:pPr>
        <w:spacing w:before="71" w:line="312" w:lineRule="exact"/>
        <w:ind w:left="0" w:leftChars="0" w:firstLine="0" w:firstLineChars="0"/>
        <w:jc w:val="right"/>
        <w:rPr>
          <w:rFonts w:ascii="宋体" w:hAnsi="宋体" w:eastAsia="宋体" w:cs="宋体"/>
          <w:color w:val="auto"/>
          <w:sz w:val="26"/>
          <w:szCs w:val="26"/>
          <w:highlight w:val="none"/>
        </w:rPr>
      </w:pPr>
      <w:r>
        <w:rPr>
          <w:rFonts w:ascii="宋体" w:hAnsi="宋体" w:eastAsia="宋体" w:cs="宋体"/>
          <w:color w:val="auto"/>
          <w:spacing w:val="-19"/>
          <w:sz w:val="26"/>
          <w:szCs w:val="26"/>
          <w:highlight w:val="none"/>
        </w:rPr>
        <w:t>申请时间：</w:t>
      </w:r>
      <w:r>
        <w:rPr>
          <w:rFonts w:ascii="宋体" w:hAnsi="宋体" w:eastAsia="宋体" w:cs="宋体"/>
          <w:color w:val="auto"/>
          <w:spacing w:val="16"/>
          <w:sz w:val="26"/>
          <w:szCs w:val="26"/>
          <w:highlight w:val="none"/>
        </w:rPr>
        <w:t xml:space="preserve">  </w:t>
      </w:r>
      <w:r>
        <w:rPr>
          <w:rFonts w:ascii="宋体" w:hAnsi="宋体" w:eastAsia="宋体" w:cs="宋体"/>
          <w:color w:val="auto"/>
          <w:spacing w:val="-19"/>
          <w:sz w:val="26"/>
          <w:szCs w:val="26"/>
          <w:highlight w:val="none"/>
        </w:rPr>
        <w:t>年</w:t>
      </w:r>
      <w:r>
        <w:rPr>
          <w:rFonts w:ascii="宋体" w:hAnsi="宋体" w:eastAsia="宋体" w:cs="宋体"/>
          <w:color w:val="auto"/>
          <w:spacing w:val="24"/>
          <w:sz w:val="26"/>
          <w:szCs w:val="26"/>
          <w:highlight w:val="none"/>
        </w:rPr>
        <w:t xml:space="preserve">   </w:t>
      </w:r>
      <w:r>
        <w:rPr>
          <w:rFonts w:ascii="宋体" w:hAnsi="宋体" w:eastAsia="宋体" w:cs="宋体"/>
          <w:color w:val="auto"/>
          <w:spacing w:val="-19"/>
          <w:sz w:val="26"/>
          <w:szCs w:val="26"/>
          <w:highlight w:val="none"/>
        </w:rPr>
        <w:t>月</w:t>
      </w:r>
      <w:r>
        <w:rPr>
          <w:rFonts w:ascii="宋体" w:hAnsi="宋体" w:eastAsia="宋体" w:cs="宋体"/>
          <w:color w:val="auto"/>
          <w:spacing w:val="33"/>
          <w:sz w:val="26"/>
          <w:szCs w:val="26"/>
          <w:highlight w:val="none"/>
        </w:rPr>
        <w:t xml:space="preserve">  </w:t>
      </w:r>
      <w:r>
        <w:rPr>
          <w:rFonts w:ascii="宋体" w:hAnsi="宋体" w:eastAsia="宋体" w:cs="宋体"/>
          <w:color w:val="auto"/>
          <w:spacing w:val="-19"/>
          <w:sz w:val="26"/>
          <w:szCs w:val="26"/>
          <w:highlight w:val="none"/>
        </w:rPr>
        <w:t>日</w:t>
      </w:r>
    </w:p>
    <w:p>
      <w:pPr>
        <w:spacing w:line="125" w:lineRule="exact"/>
        <w:rPr>
          <w:color w:val="auto"/>
          <w:highlight w:val="none"/>
        </w:rPr>
      </w:pPr>
    </w:p>
    <w:tbl>
      <w:tblPr>
        <w:tblStyle w:val="10"/>
        <w:tblW w:w="853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1"/>
        <w:gridCol w:w="1380"/>
        <w:gridCol w:w="1335"/>
        <w:gridCol w:w="554"/>
        <w:gridCol w:w="556"/>
        <w:gridCol w:w="345"/>
        <w:gridCol w:w="810"/>
        <w:gridCol w:w="714"/>
        <w:gridCol w:w="330"/>
        <w:gridCol w:w="12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1231" w:type="dxa"/>
            <w:vAlign w:val="top"/>
          </w:tcPr>
          <w:p>
            <w:pPr>
              <w:spacing w:before="171" w:line="219" w:lineRule="auto"/>
              <w:ind w:left="10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机构名称</w:t>
            </w:r>
          </w:p>
        </w:tc>
        <w:tc>
          <w:tcPr>
            <w:tcW w:w="7307" w:type="dxa"/>
            <w:gridSpan w:val="9"/>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31" w:type="dxa"/>
            <w:vAlign w:val="top"/>
          </w:tcPr>
          <w:p>
            <w:pPr>
              <w:spacing w:before="158" w:line="220" w:lineRule="auto"/>
              <w:ind w:left="10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单位地址</w:t>
            </w:r>
          </w:p>
        </w:tc>
        <w:tc>
          <w:tcPr>
            <w:tcW w:w="4170" w:type="dxa"/>
            <w:gridSpan w:val="5"/>
            <w:vAlign w:val="top"/>
          </w:tcPr>
          <w:p>
            <w:pPr>
              <w:rPr>
                <w:rFonts w:ascii="Arial"/>
                <w:color w:val="auto"/>
                <w:sz w:val="21"/>
                <w:highlight w:val="none"/>
              </w:rPr>
            </w:pPr>
          </w:p>
        </w:tc>
        <w:tc>
          <w:tcPr>
            <w:tcW w:w="1524" w:type="dxa"/>
            <w:gridSpan w:val="2"/>
            <w:vAlign w:val="top"/>
          </w:tcPr>
          <w:p>
            <w:pPr>
              <w:spacing w:before="158" w:line="219" w:lineRule="auto"/>
              <w:ind w:left="107"/>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邮政编码</w:t>
            </w:r>
          </w:p>
        </w:tc>
        <w:tc>
          <w:tcPr>
            <w:tcW w:w="1613" w:type="dxa"/>
            <w:gridSpan w:val="2"/>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31" w:type="dxa"/>
            <w:vAlign w:val="top"/>
          </w:tcPr>
          <w:p>
            <w:pPr>
              <w:spacing w:before="168" w:line="219" w:lineRule="auto"/>
              <w:ind w:left="10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法定代表人</w:t>
            </w:r>
          </w:p>
        </w:tc>
        <w:tc>
          <w:tcPr>
            <w:tcW w:w="3269" w:type="dxa"/>
            <w:gridSpan w:val="3"/>
            <w:vAlign w:val="top"/>
          </w:tcPr>
          <w:p>
            <w:pPr>
              <w:rPr>
                <w:rFonts w:ascii="Arial"/>
                <w:color w:val="auto"/>
                <w:sz w:val="21"/>
                <w:highlight w:val="none"/>
              </w:rPr>
            </w:pPr>
          </w:p>
        </w:tc>
        <w:tc>
          <w:tcPr>
            <w:tcW w:w="901" w:type="dxa"/>
            <w:gridSpan w:val="2"/>
            <w:vAlign w:val="top"/>
          </w:tcPr>
          <w:p>
            <w:pPr>
              <w:spacing w:before="170" w:line="221" w:lineRule="auto"/>
              <w:ind w:left="11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联系电话</w:t>
            </w:r>
          </w:p>
        </w:tc>
        <w:tc>
          <w:tcPr>
            <w:tcW w:w="3137" w:type="dxa"/>
            <w:gridSpan w:val="4"/>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0" w:hRule="atLeast"/>
        </w:trPr>
        <w:tc>
          <w:tcPr>
            <w:tcW w:w="1231" w:type="dxa"/>
            <w:vAlign w:val="top"/>
          </w:tcPr>
          <w:p>
            <w:pPr>
              <w:spacing w:before="160" w:line="221" w:lineRule="auto"/>
              <w:ind w:left="10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联系人</w:t>
            </w:r>
          </w:p>
        </w:tc>
        <w:tc>
          <w:tcPr>
            <w:tcW w:w="3269" w:type="dxa"/>
            <w:gridSpan w:val="3"/>
            <w:vAlign w:val="top"/>
          </w:tcPr>
          <w:p>
            <w:pPr>
              <w:rPr>
                <w:rFonts w:ascii="Arial"/>
                <w:color w:val="auto"/>
                <w:sz w:val="21"/>
                <w:highlight w:val="none"/>
              </w:rPr>
            </w:pPr>
          </w:p>
        </w:tc>
        <w:tc>
          <w:tcPr>
            <w:tcW w:w="901" w:type="dxa"/>
            <w:gridSpan w:val="2"/>
            <w:vAlign w:val="top"/>
          </w:tcPr>
          <w:p>
            <w:pPr>
              <w:spacing w:before="170" w:line="215" w:lineRule="auto"/>
              <w:ind w:left="114"/>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联系电话</w:t>
            </w:r>
          </w:p>
        </w:tc>
        <w:tc>
          <w:tcPr>
            <w:tcW w:w="3137" w:type="dxa"/>
            <w:gridSpan w:val="4"/>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231" w:type="dxa"/>
            <w:vAlign w:val="top"/>
          </w:tcPr>
          <w:p>
            <w:pPr>
              <w:spacing w:before="187" w:line="219" w:lineRule="auto"/>
              <w:ind w:left="10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机构类型</w:t>
            </w:r>
          </w:p>
        </w:tc>
        <w:tc>
          <w:tcPr>
            <w:tcW w:w="7307" w:type="dxa"/>
            <w:gridSpan w:val="9"/>
            <w:vAlign w:val="top"/>
          </w:tcPr>
          <w:p>
            <w:pPr>
              <w:spacing w:before="187" w:line="219" w:lineRule="auto"/>
              <w:ind w:firstLine="360" w:firstLineChars="200"/>
              <w:rPr>
                <w:rFonts w:ascii="宋体" w:hAnsi="宋体" w:eastAsia="宋体" w:cs="宋体"/>
                <w:color w:val="auto"/>
                <w:sz w:val="18"/>
                <w:szCs w:val="18"/>
                <w:highlight w:val="none"/>
              </w:rPr>
            </w:pPr>
            <w:r>
              <w:rPr>
                <w:rFonts w:hint="eastAsia" w:ascii="宋体" w:hAnsi="宋体" w:cs="宋体"/>
                <w:color w:val="auto"/>
                <w:sz w:val="18"/>
                <w:szCs w:val="18"/>
                <w:highlight w:val="none"/>
                <w:lang w:eastAsia="zh-CN"/>
              </w:rPr>
              <w:t>□</w:t>
            </w:r>
            <w:r>
              <w:rPr>
                <w:rFonts w:ascii="宋体" w:hAnsi="宋体" w:eastAsia="宋体" w:cs="宋体"/>
                <w:color w:val="auto"/>
                <w:sz w:val="18"/>
                <w:szCs w:val="18"/>
                <w:highlight w:val="none"/>
              </w:rPr>
              <w:t>医疗机构</w:t>
            </w:r>
            <w:r>
              <w:rPr>
                <w:rFonts w:ascii="宋体" w:hAnsi="宋体" w:eastAsia="宋体" w:cs="宋体"/>
                <w:color w:val="auto"/>
                <w:spacing w:val="11"/>
                <w:sz w:val="18"/>
                <w:szCs w:val="18"/>
                <w:highlight w:val="none"/>
              </w:rPr>
              <w:t xml:space="preserve">   </w:t>
            </w:r>
            <w:r>
              <w:rPr>
                <w:rFonts w:hint="eastAsia" w:ascii="宋体" w:hAnsi="宋体" w:eastAsia="宋体" w:cs="宋体"/>
                <w:color w:val="auto"/>
                <w:spacing w:val="11"/>
                <w:sz w:val="18"/>
                <w:szCs w:val="18"/>
                <w:highlight w:val="none"/>
              </w:rPr>
              <w:t>□</w:t>
            </w:r>
            <w:r>
              <w:rPr>
                <w:rFonts w:ascii="宋体" w:hAnsi="宋体" w:eastAsia="宋体" w:cs="宋体"/>
                <w:color w:val="auto"/>
                <w:sz w:val="18"/>
                <w:szCs w:val="18"/>
                <w:highlight w:val="none"/>
              </w:rPr>
              <w:t>养老机构、残疾人托养机构</w:t>
            </w:r>
            <w:r>
              <w:rPr>
                <w:rFonts w:ascii="宋体" w:hAnsi="宋体" w:eastAsia="宋体" w:cs="宋体"/>
                <w:color w:val="auto"/>
                <w:spacing w:val="29"/>
                <w:sz w:val="18"/>
                <w:szCs w:val="18"/>
                <w:highlight w:val="none"/>
              </w:rPr>
              <w:t xml:space="preserve">  </w:t>
            </w:r>
            <w:r>
              <w:rPr>
                <w:rFonts w:hint="eastAsia" w:ascii="宋体" w:hAnsi="宋体" w:cs="宋体"/>
                <w:color w:val="auto"/>
                <w:sz w:val="18"/>
                <w:szCs w:val="18"/>
                <w:highlight w:val="none"/>
                <w:lang w:val="en-US" w:eastAsia="zh-CN"/>
              </w:rPr>
              <w:t xml:space="preserve"> </w:t>
            </w:r>
            <w:r>
              <w:rPr>
                <w:rFonts w:hint="eastAsia" w:ascii="宋体" w:hAnsi="宋体" w:cs="宋体"/>
                <w:color w:val="auto"/>
                <w:spacing w:val="29"/>
                <w:sz w:val="18"/>
                <w:szCs w:val="18"/>
                <w:highlight w:val="none"/>
                <w:lang w:eastAsia="zh-CN"/>
              </w:rPr>
              <w:t>□</w:t>
            </w:r>
            <w:r>
              <w:rPr>
                <w:rFonts w:hint="eastAsia" w:ascii="宋体" w:hAnsi="宋体" w:cs="宋体"/>
                <w:color w:val="auto"/>
                <w:spacing w:val="29"/>
                <w:sz w:val="18"/>
                <w:szCs w:val="18"/>
                <w:highlight w:val="none"/>
                <w:lang w:val="en-US" w:eastAsia="zh-CN"/>
              </w:rPr>
              <w:t>其他企事业或社会组织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231" w:type="dxa"/>
            <w:vAlign w:val="top"/>
          </w:tcPr>
          <w:p>
            <w:pPr>
              <w:spacing w:before="157" w:line="219" w:lineRule="auto"/>
              <w:ind w:left="10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提供服务方式</w:t>
            </w:r>
          </w:p>
        </w:tc>
        <w:tc>
          <w:tcPr>
            <w:tcW w:w="7307" w:type="dxa"/>
            <w:gridSpan w:val="9"/>
            <w:vAlign w:val="top"/>
          </w:tcPr>
          <w:p>
            <w:pPr>
              <w:spacing w:before="177" w:line="219" w:lineRule="auto"/>
              <w:ind w:left="0" w:firstLine="1440" w:firstLineChars="800"/>
              <w:rPr>
                <w:rFonts w:ascii="宋体" w:hAnsi="宋体" w:eastAsia="宋体" w:cs="宋体"/>
                <w:color w:val="auto"/>
                <w:sz w:val="18"/>
                <w:szCs w:val="18"/>
                <w:highlight w:val="none"/>
              </w:rPr>
            </w:pPr>
            <w:r>
              <w:rPr>
                <w:rFonts w:hint="eastAsia" w:ascii="宋体" w:hAnsi="宋体" w:cs="宋体"/>
                <w:color w:val="auto"/>
                <w:sz w:val="18"/>
                <w:szCs w:val="18"/>
                <w:highlight w:val="none"/>
                <w:lang w:eastAsia="zh-CN"/>
              </w:rPr>
              <w:t>□</w:t>
            </w:r>
            <w:r>
              <w:rPr>
                <w:rFonts w:ascii="宋体" w:hAnsi="宋体" w:eastAsia="宋体" w:cs="宋体"/>
                <w:color w:val="auto"/>
                <w:sz w:val="18"/>
                <w:szCs w:val="18"/>
                <w:highlight w:val="none"/>
              </w:rPr>
              <w:t>入住机构护理</w:t>
            </w:r>
            <w:r>
              <w:rPr>
                <w:rFonts w:hint="eastAsia" w:ascii="宋体" w:hAnsi="宋体" w:cs="宋体"/>
                <w:color w:val="auto"/>
                <w:sz w:val="18"/>
                <w:szCs w:val="18"/>
                <w:highlight w:val="none"/>
                <w:lang w:val="en-US" w:eastAsia="zh-CN"/>
              </w:rPr>
              <w:t xml:space="preserve">         </w:t>
            </w:r>
            <w:r>
              <w:rPr>
                <w:rFonts w:hint="eastAsia" w:ascii="宋体" w:hAnsi="宋体" w:cs="宋体"/>
                <w:color w:val="auto"/>
                <w:sz w:val="18"/>
                <w:szCs w:val="18"/>
                <w:highlight w:val="none"/>
                <w:lang w:eastAsia="zh-CN"/>
              </w:rPr>
              <w:t>□</w:t>
            </w:r>
            <w:r>
              <w:rPr>
                <w:rFonts w:ascii="宋体" w:hAnsi="宋体" w:eastAsia="宋体" w:cs="宋体"/>
                <w:color w:val="auto"/>
                <w:sz w:val="18"/>
                <w:szCs w:val="18"/>
                <w:highlight w:val="none"/>
              </w:rPr>
              <w:t>居家上门护理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2611" w:type="dxa"/>
            <w:gridSpan w:val="2"/>
            <w:vAlign w:val="top"/>
          </w:tcPr>
          <w:p>
            <w:pPr>
              <w:spacing w:before="188" w:line="219" w:lineRule="auto"/>
              <w:ind w:left="105"/>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医疗机构执业许可证号</w:t>
            </w:r>
          </w:p>
        </w:tc>
        <w:tc>
          <w:tcPr>
            <w:tcW w:w="5927" w:type="dxa"/>
            <w:gridSpan w:val="8"/>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611" w:type="dxa"/>
            <w:gridSpan w:val="2"/>
            <w:vAlign w:val="top"/>
          </w:tcPr>
          <w:p>
            <w:pPr>
              <w:spacing w:before="178" w:line="219" w:lineRule="auto"/>
              <w:ind w:left="105"/>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养老机构设立许可证号</w:t>
            </w:r>
          </w:p>
        </w:tc>
        <w:tc>
          <w:tcPr>
            <w:tcW w:w="5927" w:type="dxa"/>
            <w:gridSpan w:val="8"/>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8538" w:type="dxa"/>
            <w:gridSpan w:val="10"/>
            <w:vAlign w:val="top"/>
          </w:tcPr>
          <w:p>
            <w:pPr>
              <w:spacing w:before="179" w:line="219" w:lineRule="auto"/>
              <w:ind w:left="0" w:firstLine="1176" w:firstLineChars="600"/>
              <w:rPr>
                <w:rFonts w:ascii="宋体" w:hAnsi="宋体" w:eastAsia="宋体" w:cs="宋体"/>
                <w:color w:val="auto"/>
                <w:sz w:val="18"/>
                <w:szCs w:val="18"/>
                <w:highlight w:val="none"/>
              </w:rPr>
            </w:pPr>
            <w:r>
              <w:rPr>
                <w:rFonts w:hint="eastAsia" w:ascii="宋体" w:hAnsi="宋体" w:cs="宋体"/>
                <w:color w:val="auto"/>
                <w:spacing w:val="8"/>
                <w:sz w:val="18"/>
                <w:szCs w:val="18"/>
                <w:highlight w:val="none"/>
                <w:lang w:eastAsia="zh-CN"/>
              </w:rPr>
              <w:t>□</w:t>
            </w:r>
            <w:r>
              <w:rPr>
                <w:rFonts w:ascii="宋体" w:hAnsi="宋体" w:eastAsia="宋体" w:cs="宋体"/>
                <w:color w:val="auto"/>
                <w:spacing w:val="8"/>
                <w:sz w:val="18"/>
                <w:szCs w:val="18"/>
                <w:highlight w:val="none"/>
              </w:rPr>
              <w:t>事业单位法人证书号</w:t>
            </w:r>
            <w:r>
              <w:rPr>
                <w:rFonts w:hint="eastAsia" w:ascii="宋体" w:hAnsi="宋体" w:cs="宋体"/>
                <w:color w:val="auto"/>
                <w:spacing w:val="8"/>
                <w:sz w:val="18"/>
                <w:szCs w:val="18"/>
                <w:highlight w:val="none"/>
                <w:lang w:val="en-US" w:eastAsia="zh-CN"/>
              </w:rPr>
              <w:t xml:space="preserve">   </w:t>
            </w:r>
            <w:r>
              <w:rPr>
                <w:rFonts w:ascii="宋体" w:hAnsi="宋体" w:eastAsia="宋体" w:cs="宋体"/>
                <w:color w:val="auto"/>
                <w:spacing w:val="8"/>
                <w:sz w:val="18"/>
                <w:szCs w:val="18"/>
                <w:highlight w:val="none"/>
              </w:rPr>
              <w:t>□民办非企业单位登记证书号</w:t>
            </w:r>
            <w:r>
              <w:rPr>
                <w:rFonts w:hint="eastAsia" w:ascii="宋体" w:hAnsi="宋体" w:cs="宋体"/>
                <w:color w:val="auto"/>
                <w:spacing w:val="8"/>
                <w:sz w:val="18"/>
                <w:szCs w:val="18"/>
                <w:highlight w:val="none"/>
                <w:lang w:val="en-US" w:eastAsia="zh-CN"/>
              </w:rPr>
              <w:t xml:space="preserve">   </w:t>
            </w:r>
            <w:r>
              <w:rPr>
                <w:rFonts w:ascii="宋体" w:hAnsi="宋体" w:eastAsia="宋体" w:cs="宋体"/>
                <w:color w:val="auto"/>
                <w:spacing w:val="8"/>
                <w:sz w:val="18"/>
                <w:szCs w:val="18"/>
                <w:highlight w:val="none"/>
              </w:rPr>
              <w:t>□营业执照号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2611" w:type="dxa"/>
            <w:gridSpan w:val="2"/>
            <w:vAlign w:val="top"/>
          </w:tcPr>
          <w:p>
            <w:pPr>
              <w:spacing w:before="169" w:line="219" w:lineRule="auto"/>
              <w:ind w:left="105"/>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机构证书号</w:t>
            </w:r>
          </w:p>
        </w:tc>
        <w:tc>
          <w:tcPr>
            <w:tcW w:w="5927" w:type="dxa"/>
            <w:gridSpan w:val="8"/>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31" w:type="dxa"/>
            <w:vMerge w:val="restart"/>
            <w:tcBorders>
              <w:bottom w:val="nil"/>
            </w:tcBorders>
            <w:vAlign w:val="center"/>
          </w:tcPr>
          <w:p>
            <w:pPr>
              <w:spacing w:line="283" w:lineRule="auto"/>
              <w:jc w:val="center"/>
              <w:rPr>
                <w:rFonts w:ascii="Arial"/>
                <w:color w:val="auto"/>
                <w:sz w:val="21"/>
                <w:highlight w:val="none"/>
              </w:rPr>
            </w:pPr>
          </w:p>
          <w:p>
            <w:pPr>
              <w:spacing w:before="59" w:line="400" w:lineRule="exact"/>
              <w:jc w:val="center"/>
              <w:rPr>
                <w:rFonts w:ascii="宋体" w:hAnsi="宋体" w:eastAsia="宋体" w:cs="宋体"/>
                <w:color w:val="auto"/>
                <w:sz w:val="18"/>
                <w:szCs w:val="18"/>
                <w:highlight w:val="none"/>
              </w:rPr>
            </w:pPr>
            <w:r>
              <w:rPr>
                <w:rFonts w:ascii="宋体" w:hAnsi="宋体" w:eastAsia="宋体" w:cs="宋体"/>
                <w:color w:val="auto"/>
                <w:spacing w:val="-2"/>
                <w:position w:val="17"/>
                <w:sz w:val="18"/>
                <w:szCs w:val="18"/>
                <w:highlight w:val="none"/>
              </w:rPr>
              <w:t>卫生技术</w:t>
            </w:r>
          </w:p>
          <w:p>
            <w:pPr>
              <w:spacing w:line="220" w:lineRule="auto"/>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人员构成</w:t>
            </w:r>
          </w:p>
        </w:tc>
        <w:tc>
          <w:tcPr>
            <w:tcW w:w="1380" w:type="dxa"/>
            <w:vAlign w:val="center"/>
          </w:tcPr>
          <w:p>
            <w:pPr>
              <w:spacing w:before="161" w:line="219" w:lineRule="auto"/>
              <w:jc w:val="center"/>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人员类别</w:t>
            </w:r>
          </w:p>
        </w:tc>
        <w:tc>
          <w:tcPr>
            <w:tcW w:w="1335" w:type="dxa"/>
            <w:vAlign w:val="center"/>
          </w:tcPr>
          <w:p>
            <w:pPr>
              <w:spacing w:before="171" w:line="219" w:lineRule="auto"/>
              <w:jc w:val="center"/>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总人数</w:t>
            </w:r>
          </w:p>
        </w:tc>
        <w:tc>
          <w:tcPr>
            <w:tcW w:w="1110" w:type="dxa"/>
            <w:gridSpan w:val="2"/>
            <w:vAlign w:val="center"/>
          </w:tcPr>
          <w:p>
            <w:pPr>
              <w:spacing w:before="161" w:line="219" w:lineRule="auto"/>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高级职称</w:t>
            </w:r>
          </w:p>
        </w:tc>
        <w:tc>
          <w:tcPr>
            <w:tcW w:w="1155" w:type="dxa"/>
            <w:gridSpan w:val="2"/>
            <w:vAlign w:val="center"/>
          </w:tcPr>
          <w:p>
            <w:pPr>
              <w:spacing w:before="172" w:line="220" w:lineRule="auto"/>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中级职称</w:t>
            </w:r>
          </w:p>
        </w:tc>
        <w:tc>
          <w:tcPr>
            <w:tcW w:w="1044" w:type="dxa"/>
            <w:gridSpan w:val="2"/>
            <w:vAlign w:val="center"/>
          </w:tcPr>
          <w:p>
            <w:pPr>
              <w:spacing w:before="173" w:line="221" w:lineRule="auto"/>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初级职称</w:t>
            </w:r>
          </w:p>
        </w:tc>
        <w:tc>
          <w:tcPr>
            <w:tcW w:w="1283" w:type="dxa"/>
            <w:vAlign w:val="center"/>
          </w:tcPr>
          <w:p>
            <w:pPr>
              <w:spacing w:before="161" w:line="220" w:lineRule="auto"/>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31" w:type="dxa"/>
            <w:vMerge w:val="continue"/>
            <w:tcBorders>
              <w:top w:val="nil"/>
              <w:bottom w:val="nil"/>
            </w:tcBorders>
            <w:vAlign w:val="center"/>
          </w:tcPr>
          <w:p>
            <w:pPr>
              <w:jc w:val="center"/>
              <w:rPr>
                <w:rFonts w:ascii="Arial"/>
                <w:color w:val="auto"/>
                <w:sz w:val="21"/>
                <w:highlight w:val="none"/>
              </w:rPr>
            </w:pPr>
          </w:p>
        </w:tc>
        <w:tc>
          <w:tcPr>
            <w:tcW w:w="1380" w:type="dxa"/>
            <w:vAlign w:val="center"/>
          </w:tcPr>
          <w:p>
            <w:pPr>
              <w:spacing w:before="182" w:line="221" w:lineRule="auto"/>
              <w:ind w:left="92"/>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注册医生</w:t>
            </w:r>
          </w:p>
        </w:tc>
        <w:tc>
          <w:tcPr>
            <w:tcW w:w="1335" w:type="dxa"/>
            <w:vAlign w:val="center"/>
          </w:tcPr>
          <w:p>
            <w:pPr>
              <w:jc w:val="center"/>
              <w:rPr>
                <w:rFonts w:ascii="Arial"/>
                <w:color w:val="auto"/>
                <w:sz w:val="21"/>
                <w:highlight w:val="none"/>
              </w:rPr>
            </w:pPr>
          </w:p>
        </w:tc>
        <w:tc>
          <w:tcPr>
            <w:tcW w:w="1110" w:type="dxa"/>
            <w:gridSpan w:val="2"/>
            <w:vAlign w:val="center"/>
          </w:tcPr>
          <w:p>
            <w:pPr>
              <w:jc w:val="center"/>
              <w:rPr>
                <w:rFonts w:ascii="Arial"/>
                <w:color w:val="auto"/>
                <w:sz w:val="21"/>
                <w:highlight w:val="none"/>
              </w:rPr>
            </w:pPr>
          </w:p>
        </w:tc>
        <w:tc>
          <w:tcPr>
            <w:tcW w:w="1155" w:type="dxa"/>
            <w:gridSpan w:val="2"/>
            <w:vAlign w:val="center"/>
          </w:tcPr>
          <w:p>
            <w:pPr>
              <w:jc w:val="center"/>
              <w:rPr>
                <w:rFonts w:ascii="Arial"/>
                <w:color w:val="auto"/>
                <w:sz w:val="21"/>
                <w:highlight w:val="none"/>
              </w:rPr>
            </w:pPr>
          </w:p>
        </w:tc>
        <w:tc>
          <w:tcPr>
            <w:tcW w:w="1044" w:type="dxa"/>
            <w:gridSpan w:val="2"/>
            <w:vAlign w:val="center"/>
          </w:tcPr>
          <w:p>
            <w:pPr>
              <w:jc w:val="center"/>
              <w:rPr>
                <w:rFonts w:ascii="Arial"/>
                <w:color w:val="auto"/>
                <w:sz w:val="21"/>
                <w:highlight w:val="none"/>
              </w:rPr>
            </w:pPr>
          </w:p>
        </w:tc>
        <w:tc>
          <w:tcPr>
            <w:tcW w:w="1283" w:type="dxa"/>
            <w:vAlign w:val="center"/>
          </w:tcPr>
          <w:p>
            <w:pPr>
              <w:jc w:val="cente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9" w:hRule="atLeast"/>
        </w:trPr>
        <w:tc>
          <w:tcPr>
            <w:tcW w:w="1231" w:type="dxa"/>
            <w:vMerge w:val="continue"/>
            <w:tcBorders>
              <w:top w:val="nil"/>
              <w:bottom w:val="nil"/>
            </w:tcBorders>
            <w:vAlign w:val="center"/>
          </w:tcPr>
          <w:p>
            <w:pPr>
              <w:jc w:val="center"/>
              <w:rPr>
                <w:rFonts w:ascii="Arial"/>
                <w:color w:val="auto"/>
                <w:sz w:val="21"/>
                <w:highlight w:val="none"/>
              </w:rPr>
            </w:pPr>
          </w:p>
        </w:tc>
        <w:tc>
          <w:tcPr>
            <w:tcW w:w="1380" w:type="dxa"/>
            <w:vAlign w:val="center"/>
          </w:tcPr>
          <w:p>
            <w:pPr>
              <w:spacing w:before="181" w:line="220" w:lineRule="auto"/>
              <w:ind w:left="92"/>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注册护士</w:t>
            </w:r>
          </w:p>
        </w:tc>
        <w:tc>
          <w:tcPr>
            <w:tcW w:w="1335" w:type="dxa"/>
            <w:vAlign w:val="center"/>
          </w:tcPr>
          <w:p>
            <w:pPr>
              <w:jc w:val="center"/>
              <w:rPr>
                <w:rFonts w:ascii="Arial"/>
                <w:color w:val="auto"/>
                <w:sz w:val="21"/>
                <w:highlight w:val="none"/>
              </w:rPr>
            </w:pPr>
          </w:p>
        </w:tc>
        <w:tc>
          <w:tcPr>
            <w:tcW w:w="1110" w:type="dxa"/>
            <w:gridSpan w:val="2"/>
            <w:vAlign w:val="center"/>
          </w:tcPr>
          <w:p>
            <w:pPr>
              <w:jc w:val="center"/>
              <w:rPr>
                <w:rFonts w:ascii="Arial"/>
                <w:color w:val="auto"/>
                <w:sz w:val="21"/>
                <w:highlight w:val="none"/>
              </w:rPr>
            </w:pPr>
          </w:p>
        </w:tc>
        <w:tc>
          <w:tcPr>
            <w:tcW w:w="1155" w:type="dxa"/>
            <w:gridSpan w:val="2"/>
            <w:vAlign w:val="center"/>
          </w:tcPr>
          <w:p>
            <w:pPr>
              <w:jc w:val="center"/>
              <w:rPr>
                <w:rFonts w:ascii="Arial"/>
                <w:color w:val="auto"/>
                <w:sz w:val="21"/>
                <w:highlight w:val="none"/>
              </w:rPr>
            </w:pPr>
          </w:p>
        </w:tc>
        <w:tc>
          <w:tcPr>
            <w:tcW w:w="1044" w:type="dxa"/>
            <w:gridSpan w:val="2"/>
            <w:vAlign w:val="center"/>
          </w:tcPr>
          <w:p>
            <w:pPr>
              <w:jc w:val="center"/>
              <w:rPr>
                <w:rFonts w:ascii="Arial"/>
                <w:color w:val="auto"/>
                <w:sz w:val="21"/>
                <w:highlight w:val="none"/>
              </w:rPr>
            </w:pPr>
          </w:p>
        </w:tc>
        <w:tc>
          <w:tcPr>
            <w:tcW w:w="1283" w:type="dxa"/>
            <w:vAlign w:val="center"/>
          </w:tcPr>
          <w:p>
            <w:pPr>
              <w:jc w:val="cente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1231" w:type="dxa"/>
            <w:vMerge w:val="continue"/>
            <w:tcBorders>
              <w:top w:val="nil"/>
              <w:bottom w:val="nil"/>
            </w:tcBorders>
            <w:vAlign w:val="center"/>
          </w:tcPr>
          <w:p>
            <w:pPr>
              <w:jc w:val="center"/>
              <w:rPr>
                <w:rFonts w:ascii="Arial"/>
                <w:color w:val="auto"/>
                <w:sz w:val="21"/>
                <w:highlight w:val="none"/>
              </w:rPr>
            </w:pPr>
          </w:p>
        </w:tc>
        <w:tc>
          <w:tcPr>
            <w:tcW w:w="1380" w:type="dxa"/>
            <w:vAlign w:val="center"/>
          </w:tcPr>
          <w:p>
            <w:pPr>
              <w:spacing w:before="162" w:line="219" w:lineRule="auto"/>
              <w:ind w:left="92"/>
              <w:jc w:val="center"/>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药师</w:t>
            </w:r>
          </w:p>
        </w:tc>
        <w:tc>
          <w:tcPr>
            <w:tcW w:w="1335" w:type="dxa"/>
            <w:vAlign w:val="center"/>
          </w:tcPr>
          <w:p>
            <w:pPr>
              <w:jc w:val="center"/>
              <w:rPr>
                <w:rFonts w:ascii="Arial"/>
                <w:color w:val="auto"/>
                <w:sz w:val="21"/>
                <w:highlight w:val="none"/>
              </w:rPr>
            </w:pPr>
          </w:p>
        </w:tc>
        <w:tc>
          <w:tcPr>
            <w:tcW w:w="1110" w:type="dxa"/>
            <w:gridSpan w:val="2"/>
            <w:vAlign w:val="center"/>
          </w:tcPr>
          <w:p>
            <w:pPr>
              <w:jc w:val="center"/>
              <w:rPr>
                <w:rFonts w:ascii="Arial"/>
                <w:color w:val="auto"/>
                <w:sz w:val="21"/>
                <w:highlight w:val="none"/>
              </w:rPr>
            </w:pPr>
          </w:p>
        </w:tc>
        <w:tc>
          <w:tcPr>
            <w:tcW w:w="1155" w:type="dxa"/>
            <w:gridSpan w:val="2"/>
            <w:vAlign w:val="center"/>
          </w:tcPr>
          <w:p>
            <w:pPr>
              <w:jc w:val="center"/>
              <w:rPr>
                <w:rFonts w:ascii="Arial"/>
                <w:color w:val="auto"/>
                <w:sz w:val="21"/>
                <w:highlight w:val="none"/>
              </w:rPr>
            </w:pPr>
          </w:p>
        </w:tc>
        <w:tc>
          <w:tcPr>
            <w:tcW w:w="1044" w:type="dxa"/>
            <w:gridSpan w:val="2"/>
            <w:vAlign w:val="center"/>
          </w:tcPr>
          <w:p>
            <w:pPr>
              <w:jc w:val="center"/>
              <w:rPr>
                <w:rFonts w:ascii="Arial"/>
                <w:color w:val="auto"/>
                <w:sz w:val="21"/>
                <w:highlight w:val="none"/>
              </w:rPr>
            </w:pPr>
          </w:p>
        </w:tc>
        <w:tc>
          <w:tcPr>
            <w:tcW w:w="1283" w:type="dxa"/>
            <w:vAlign w:val="center"/>
          </w:tcPr>
          <w:p>
            <w:pPr>
              <w:jc w:val="cente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31" w:type="dxa"/>
            <w:vMerge w:val="continue"/>
            <w:tcBorders>
              <w:top w:val="nil"/>
              <w:bottom w:val="nil"/>
            </w:tcBorders>
            <w:vAlign w:val="center"/>
          </w:tcPr>
          <w:p>
            <w:pPr>
              <w:jc w:val="center"/>
              <w:rPr>
                <w:rFonts w:ascii="Arial"/>
                <w:color w:val="auto"/>
                <w:sz w:val="21"/>
                <w:highlight w:val="none"/>
              </w:rPr>
            </w:pPr>
          </w:p>
        </w:tc>
        <w:tc>
          <w:tcPr>
            <w:tcW w:w="1380" w:type="dxa"/>
            <w:vAlign w:val="center"/>
          </w:tcPr>
          <w:p>
            <w:pPr>
              <w:spacing w:before="162" w:line="219" w:lineRule="auto"/>
              <w:ind w:left="92"/>
              <w:jc w:val="center"/>
              <w:rPr>
                <w:rFonts w:ascii="宋体" w:hAnsi="宋体" w:eastAsia="宋体" w:cs="宋体"/>
                <w:color w:val="auto"/>
                <w:spacing w:val="-3"/>
                <w:sz w:val="18"/>
                <w:szCs w:val="18"/>
                <w:highlight w:val="none"/>
              </w:rPr>
            </w:pPr>
            <w:r>
              <w:rPr>
                <w:rFonts w:ascii="宋体" w:hAnsi="宋体" w:eastAsia="宋体" w:cs="宋体"/>
                <w:color w:val="auto"/>
                <w:spacing w:val="-3"/>
                <w:sz w:val="18"/>
                <w:szCs w:val="18"/>
                <w:highlight w:val="none"/>
              </w:rPr>
              <w:t>其他医技人员</w:t>
            </w:r>
          </w:p>
        </w:tc>
        <w:tc>
          <w:tcPr>
            <w:tcW w:w="1335" w:type="dxa"/>
            <w:vAlign w:val="center"/>
          </w:tcPr>
          <w:p>
            <w:pPr>
              <w:jc w:val="center"/>
              <w:rPr>
                <w:rFonts w:ascii="Arial"/>
                <w:color w:val="auto"/>
                <w:sz w:val="21"/>
                <w:highlight w:val="none"/>
              </w:rPr>
            </w:pPr>
          </w:p>
        </w:tc>
        <w:tc>
          <w:tcPr>
            <w:tcW w:w="1110" w:type="dxa"/>
            <w:gridSpan w:val="2"/>
            <w:vAlign w:val="center"/>
          </w:tcPr>
          <w:p>
            <w:pPr>
              <w:jc w:val="center"/>
              <w:rPr>
                <w:rFonts w:ascii="Arial"/>
                <w:color w:val="auto"/>
                <w:sz w:val="21"/>
                <w:highlight w:val="none"/>
              </w:rPr>
            </w:pPr>
          </w:p>
        </w:tc>
        <w:tc>
          <w:tcPr>
            <w:tcW w:w="1155" w:type="dxa"/>
            <w:gridSpan w:val="2"/>
            <w:vAlign w:val="center"/>
          </w:tcPr>
          <w:p>
            <w:pPr>
              <w:jc w:val="center"/>
              <w:rPr>
                <w:rFonts w:ascii="Arial"/>
                <w:color w:val="auto"/>
                <w:sz w:val="21"/>
                <w:highlight w:val="none"/>
              </w:rPr>
            </w:pPr>
          </w:p>
        </w:tc>
        <w:tc>
          <w:tcPr>
            <w:tcW w:w="1044" w:type="dxa"/>
            <w:gridSpan w:val="2"/>
            <w:vAlign w:val="center"/>
          </w:tcPr>
          <w:p>
            <w:pPr>
              <w:jc w:val="center"/>
              <w:rPr>
                <w:rFonts w:ascii="Arial"/>
                <w:color w:val="auto"/>
                <w:sz w:val="21"/>
                <w:highlight w:val="none"/>
              </w:rPr>
            </w:pPr>
          </w:p>
        </w:tc>
        <w:tc>
          <w:tcPr>
            <w:tcW w:w="1283" w:type="dxa"/>
            <w:vAlign w:val="center"/>
          </w:tcPr>
          <w:p>
            <w:pPr>
              <w:jc w:val="cente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231" w:type="dxa"/>
            <w:vMerge w:val="continue"/>
            <w:tcBorders>
              <w:top w:val="nil"/>
              <w:bottom w:val="nil"/>
            </w:tcBorders>
            <w:vAlign w:val="center"/>
          </w:tcPr>
          <w:p>
            <w:pPr>
              <w:jc w:val="center"/>
              <w:rPr>
                <w:rFonts w:ascii="Arial"/>
                <w:color w:val="auto"/>
                <w:sz w:val="21"/>
                <w:highlight w:val="none"/>
              </w:rPr>
            </w:pPr>
          </w:p>
        </w:tc>
        <w:tc>
          <w:tcPr>
            <w:tcW w:w="1380" w:type="dxa"/>
            <w:vAlign w:val="center"/>
          </w:tcPr>
          <w:p>
            <w:pPr>
              <w:spacing w:before="162" w:line="219" w:lineRule="auto"/>
              <w:ind w:left="92"/>
              <w:jc w:val="center"/>
              <w:rPr>
                <w:rFonts w:ascii="宋体" w:hAnsi="宋体" w:eastAsia="宋体" w:cs="宋体"/>
                <w:color w:val="auto"/>
                <w:spacing w:val="-3"/>
                <w:sz w:val="18"/>
                <w:szCs w:val="18"/>
                <w:highlight w:val="none"/>
              </w:rPr>
            </w:pPr>
            <w:r>
              <w:rPr>
                <w:rFonts w:ascii="宋体" w:hAnsi="宋体" w:eastAsia="宋体" w:cs="宋体"/>
                <w:color w:val="auto"/>
                <w:spacing w:val="-3"/>
                <w:sz w:val="18"/>
                <w:szCs w:val="18"/>
                <w:highlight w:val="none"/>
              </w:rPr>
              <w:t>医疗护理员</w:t>
            </w:r>
          </w:p>
        </w:tc>
        <w:tc>
          <w:tcPr>
            <w:tcW w:w="1335" w:type="dxa"/>
            <w:vAlign w:val="center"/>
          </w:tcPr>
          <w:p>
            <w:pPr>
              <w:jc w:val="center"/>
              <w:rPr>
                <w:rFonts w:ascii="Arial"/>
                <w:color w:val="auto"/>
                <w:sz w:val="21"/>
                <w:highlight w:val="none"/>
              </w:rPr>
            </w:pPr>
          </w:p>
        </w:tc>
        <w:tc>
          <w:tcPr>
            <w:tcW w:w="1110" w:type="dxa"/>
            <w:gridSpan w:val="2"/>
            <w:vAlign w:val="center"/>
          </w:tcPr>
          <w:p>
            <w:pPr>
              <w:jc w:val="center"/>
              <w:rPr>
                <w:rFonts w:ascii="Arial"/>
                <w:color w:val="auto"/>
                <w:sz w:val="21"/>
                <w:highlight w:val="none"/>
              </w:rPr>
            </w:pPr>
          </w:p>
        </w:tc>
        <w:tc>
          <w:tcPr>
            <w:tcW w:w="1155" w:type="dxa"/>
            <w:gridSpan w:val="2"/>
            <w:vAlign w:val="center"/>
          </w:tcPr>
          <w:p>
            <w:pPr>
              <w:jc w:val="center"/>
              <w:rPr>
                <w:rFonts w:ascii="Arial"/>
                <w:color w:val="auto"/>
                <w:sz w:val="21"/>
                <w:highlight w:val="none"/>
              </w:rPr>
            </w:pPr>
          </w:p>
        </w:tc>
        <w:tc>
          <w:tcPr>
            <w:tcW w:w="1044" w:type="dxa"/>
            <w:gridSpan w:val="2"/>
            <w:vAlign w:val="center"/>
          </w:tcPr>
          <w:p>
            <w:pPr>
              <w:jc w:val="center"/>
              <w:rPr>
                <w:rFonts w:ascii="Arial"/>
                <w:color w:val="auto"/>
                <w:sz w:val="21"/>
                <w:highlight w:val="none"/>
              </w:rPr>
            </w:pPr>
          </w:p>
        </w:tc>
        <w:tc>
          <w:tcPr>
            <w:tcW w:w="1283" w:type="dxa"/>
            <w:vAlign w:val="center"/>
          </w:tcPr>
          <w:p>
            <w:pPr>
              <w:jc w:val="cente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31" w:type="dxa"/>
            <w:vMerge w:val="continue"/>
            <w:tcBorders>
              <w:top w:val="nil"/>
            </w:tcBorders>
            <w:vAlign w:val="center"/>
          </w:tcPr>
          <w:p>
            <w:pPr>
              <w:jc w:val="center"/>
              <w:rPr>
                <w:rFonts w:ascii="Arial"/>
                <w:color w:val="auto"/>
                <w:sz w:val="21"/>
                <w:highlight w:val="none"/>
              </w:rPr>
            </w:pPr>
          </w:p>
        </w:tc>
        <w:tc>
          <w:tcPr>
            <w:tcW w:w="1380" w:type="dxa"/>
            <w:vAlign w:val="center"/>
          </w:tcPr>
          <w:p>
            <w:pPr>
              <w:spacing w:before="164" w:line="221" w:lineRule="auto"/>
              <w:ind w:left="92"/>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合计</w:t>
            </w:r>
          </w:p>
        </w:tc>
        <w:tc>
          <w:tcPr>
            <w:tcW w:w="1335" w:type="dxa"/>
            <w:vAlign w:val="center"/>
          </w:tcPr>
          <w:p>
            <w:pPr>
              <w:jc w:val="center"/>
              <w:rPr>
                <w:rFonts w:ascii="Arial"/>
                <w:color w:val="auto"/>
                <w:sz w:val="21"/>
                <w:highlight w:val="none"/>
              </w:rPr>
            </w:pPr>
          </w:p>
        </w:tc>
        <w:tc>
          <w:tcPr>
            <w:tcW w:w="1110" w:type="dxa"/>
            <w:gridSpan w:val="2"/>
            <w:vAlign w:val="center"/>
          </w:tcPr>
          <w:p>
            <w:pPr>
              <w:jc w:val="center"/>
              <w:rPr>
                <w:rFonts w:ascii="Arial"/>
                <w:color w:val="auto"/>
                <w:sz w:val="21"/>
                <w:highlight w:val="none"/>
              </w:rPr>
            </w:pPr>
          </w:p>
        </w:tc>
        <w:tc>
          <w:tcPr>
            <w:tcW w:w="1155" w:type="dxa"/>
            <w:gridSpan w:val="2"/>
            <w:vAlign w:val="center"/>
          </w:tcPr>
          <w:p>
            <w:pPr>
              <w:jc w:val="center"/>
              <w:rPr>
                <w:rFonts w:ascii="Arial"/>
                <w:color w:val="auto"/>
                <w:sz w:val="21"/>
                <w:highlight w:val="none"/>
              </w:rPr>
            </w:pPr>
          </w:p>
        </w:tc>
        <w:tc>
          <w:tcPr>
            <w:tcW w:w="1044" w:type="dxa"/>
            <w:gridSpan w:val="2"/>
            <w:vAlign w:val="center"/>
          </w:tcPr>
          <w:p>
            <w:pPr>
              <w:jc w:val="center"/>
              <w:rPr>
                <w:rFonts w:ascii="Arial"/>
                <w:color w:val="auto"/>
                <w:sz w:val="21"/>
                <w:highlight w:val="none"/>
              </w:rPr>
            </w:pPr>
          </w:p>
        </w:tc>
        <w:tc>
          <w:tcPr>
            <w:tcW w:w="1283" w:type="dxa"/>
            <w:vAlign w:val="center"/>
          </w:tcPr>
          <w:p>
            <w:pPr>
              <w:jc w:val="cente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trPr>
        <w:tc>
          <w:tcPr>
            <w:tcW w:w="1231" w:type="dxa"/>
            <w:vMerge w:val="restart"/>
            <w:tcBorders>
              <w:bottom w:val="nil"/>
            </w:tcBorders>
            <w:vAlign w:val="center"/>
          </w:tcPr>
          <w:p>
            <w:pPr>
              <w:spacing w:before="58" w:line="219" w:lineRule="auto"/>
              <w:jc w:val="center"/>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养老护理员</w:t>
            </w:r>
          </w:p>
        </w:tc>
        <w:tc>
          <w:tcPr>
            <w:tcW w:w="1380" w:type="dxa"/>
            <w:vAlign w:val="center"/>
          </w:tcPr>
          <w:p>
            <w:pPr>
              <w:spacing w:before="173" w:line="219" w:lineRule="auto"/>
              <w:jc w:val="center"/>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总人数</w:t>
            </w:r>
          </w:p>
        </w:tc>
        <w:tc>
          <w:tcPr>
            <w:tcW w:w="1335" w:type="dxa"/>
            <w:vAlign w:val="center"/>
          </w:tcPr>
          <w:p>
            <w:pPr>
              <w:spacing w:before="163" w:line="219" w:lineRule="auto"/>
              <w:jc w:val="center"/>
              <w:rPr>
                <w:rFonts w:ascii="宋体" w:hAnsi="宋体" w:eastAsia="宋体" w:cs="宋体"/>
                <w:color w:val="auto"/>
                <w:sz w:val="18"/>
                <w:szCs w:val="18"/>
                <w:highlight w:val="none"/>
              </w:rPr>
            </w:pPr>
            <w:r>
              <w:rPr>
                <w:rFonts w:ascii="宋体" w:hAnsi="宋体" w:eastAsia="宋体" w:cs="宋体"/>
                <w:color w:val="auto"/>
                <w:spacing w:val="5"/>
                <w:sz w:val="18"/>
                <w:szCs w:val="18"/>
                <w:highlight w:val="none"/>
              </w:rPr>
              <w:t>高级</w:t>
            </w:r>
          </w:p>
        </w:tc>
        <w:tc>
          <w:tcPr>
            <w:tcW w:w="1110" w:type="dxa"/>
            <w:gridSpan w:val="2"/>
            <w:vAlign w:val="center"/>
          </w:tcPr>
          <w:p>
            <w:pPr>
              <w:spacing w:before="163" w:line="220" w:lineRule="auto"/>
              <w:jc w:val="center"/>
              <w:rPr>
                <w:rFonts w:ascii="宋体" w:hAnsi="宋体" w:eastAsia="宋体" w:cs="宋体"/>
                <w:color w:val="auto"/>
                <w:sz w:val="18"/>
                <w:szCs w:val="18"/>
                <w:highlight w:val="none"/>
              </w:rPr>
            </w:pPr>
            <w:r>
              <w:rPr>
                <w:rFonts w:ascii="宋体" w:hAnsi="宋体" w:eastAsia="宋体" w:cs="宋体"/>
                <w:color w:val="auto"/>
                <w:spacing w:val="5"/>
                <w:sz w:val="18"/>
                <w:szCs w:val="18"/>
                <w:highlight w:val="none"/>
              </w:rPr>
              <w:t>中级</w:t>
            </w:r>
          </w:p>
        </w:tc>
        <w:tc>
          <w:tcPr>
            <w:tcW w:w="1155" w:type="dxa"/>
            <w:gridSpan w:val="2"/>
            <w:vAlign w:val="center"/>
          </w:tcPr>
          <w:p>
            <w:pPr>
              <w:spacing w:before="175" w:line="221" w:lineRule="auto"/>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初级</w:t>
            </w:r>
          </w:p>
        </w:tc>
        <w:tc>
          <w:tcPr>
            <w:tcW w:w="1044" w:type="dxa"/>
            <w:gridSpan w:val="2"/>
            <w:vMerge w:val="restart"/>
            <w:tcBorders>
              <w:bottom w:val="nil"/>
            </w:tcBorders>
            <w:vAlign w:val="center"/>
          </w:tcPr>
          <w:p>
            <w:pPr>
              <w:spacing w:before="58" w:line="219" w:lineRule="auto"/>
              <w:jc w:val="center"/>
              <w:rPr>
                <w:rFonts w:ascii="宋体" w:hAnsi="宋体" w:eastAsia="宋体" w:cs="宋体"/>
                <w:color w:val="auto"/>
                <w:sz w:val="18"/>
                <w:szCs w:val="18"/>
                <w:highlight w:val="none"/>
              </w:rPr>
            </w:pPr>
            <w:r>
              <w:rPr>
                <w:rFonts w:ascii="宋体" w:hAnsi="宋体" w:eastAsia="宋体" w:cs="宋体"/>
                <w:color w:val="auto"/>
                <w:spacing w:val="4"/>
                <w:sz w:val="18"/>
                <w:szCs w:val="18"/>
                <w:highlight w:val="none"/>
              </w:rPr>
              <w:t>专职管理员</w:t>
            </w:r>
          </w:p>
        </w:tc>
        <w:tc>
          <w:tcPr>
            <w:tcW w:w="1283" w:type="dxa"/>
            <w:vMerge w:val="restart"/>
            <w:tcBorders>
              <w:bottom w:val="nil"/>
            </w:tcBorders>
            <w:vAlign w:val="center"/>
          </w:tcPr>
          <w:p>
            <w:pPr>
              <w:jc w:val="cente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1231" w:type="dxa"/>
            <w:vMerge w:val="continue"/>
            <w:tcBorders>
              <w:top w:val="nil"/>
            </w:tcBorders>
            <w:vAlign w:val="center"/>
          </w:tcPr>
          <w:p>
            <w:pPr>
              <w:jc w:val="center"/>
              <w:rPr>
                <w:rFonts w:ascii="Arial"/>
                <w:color w:val="auto"/>
                <w:sz w:val="21"/>
                <w:highlight w:val="none"/>
              </w:rPr>
            </w:pPr>
          </w:p>
        </w:tc>
        <w:tc>
          <w:tcPr>
            <w:tcW w:w="1380" w:type="dxa"/>
            <w:vAlign w:val="center"/>
          </w:tcPr>
          <w:p>
            <w:pPr>
              <w:jc w:val="center"/>
              <w:rPr>
                <w:rFonts w:ascii="Arial"/>
                <w:color w:val="auto"/>
                <w:sz w:val="21"/>
                <w:highlight w:val="none"/>
              </w:rPr>
            </w:pPr>
          </w:p>
        </w:tc>
        <w:tc>
          <w:tcPr>
            <w:tcW w:w="1335" w:type="dxa"/>
            <w:vAlign w:val="center"/>
          </w:tcPr>
          <w:p>
            <w:pPr>
              <w:jc w:val="center"/>
              <w:rPr>
                <w:rFonts w:ascii="Arial"/>
                <w:color w:val="auto"/>
                <w:sz w:val="21"/>
                <w:highlight w:val="none"/>
              </w:rPr>
            </w:pPr>
          </w:p>
        </w:tc>
        <w:tc>
          <w:tcPr>
            <w:tcW w:w="1110" w:type="dxa"/>
            <w:gridSpan w:val="2"/>
            <w:vAlign w:val="center"/>
          </w:tcPr>
          <w:p>
            <w:pPr>
              <w:jc w:val="center"/>
              <w:rPr>
                <w:rFonts w:ascii="Arial"/>
                <w:color w:val="auto"/>
                <w:sz w:val="21"/>
                <w:highlight w:val="none"/>
              </w:rPr>
            </w:pPr>
          </w:p>
        </w:tc>
        <w:tc>
          <w:tcPr>
            <w:tcW w:w="1155" w:type="dxa"/>
            <w:gridSpan w:val="2"/>
            <w:vAlign w:val="center"/>
          </w:tcPr>
          <w:p>
            <w:pPr>
              <w:jc w:val="center"/>
              <w:rPr>
                <w:rFonts w:ascii="Arial"/>
                <w:color w:val="auto"/>
                <w:sz w:val="21"/>
                <w:highlight w:val="none"/>
              </w:rPr>
            </w:pPr>
          </w:p>
        </w:tc>
        <w:tc>
          <w:tcPr>
            <w:tcW w:w="1044" w:type="dxa"/>
            <w:gridSpan w:val="2"/>
            <w:vMerge w:val="continue"/>
            <w:tcBorders>
              <w:top w:val="nil"/>
            </w:tcBorders>
            <w:vAlign w:val="center"/>
          </w:tcPr>
          <w:p>
            <w:pPr>
              <w:jc w:val="center"/>
              <w:rPr>
                <w:rFonts w:ascii="Arial"/>
                <w:color w:val="auto"/>
                <w:sz w:val="21"/>
                <w:highlight w:val="none"/>
              </w:rPr>
            </w:pPr>
          </w:p>
        </w:tc>
        <w:tc>
          <w:tcPr>
            <w:tcW w:w="1283" w:type="dxa"/>
            <w:vMerge w:val="continue"/>
            <w:tcBorders>
              <w:top w:val="nil"/>
            </w:tcBorders>
            <w:vAlign w:val="center"/>
          </w:tcPr>
          <w:p>
            <w:pPr>
              <w:jc w:val="cente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1231" w:type="dxa"/>
            <w:vMerge w:val="restart"/>
            <w:tcBorders>
              <w:bottom w:val="nil"/>
            </w:tcBorders>
            <w:vAlign w:val="center"/>
          </w:tcPr>
          <w:p>
            <w:pPr>
              <w:spacing w:before="58" w:line="219" w:lineRule="auto"/>
              <w:jc w:val="center"/>
              <w:rPr>
                <w:rFonts w:ascii="宋体" w:hAnsi="宋体" w:eastAsia="宋体" w:cs="宋体"/>
                <w:color w:val="auto"/>
                <w:sz w:val="18"/>
                <w:szCs w:val="18"/>
                <w:highlight w:val="none"/>
              </w:rPr>
            </w:pPr>
            <w:r>
              <w:rPr>
                <w:rFonts w:ascii="宋体" w:hAnsi="宋体" w:eastAsia="宋体" w:cs="宋体"/>
                <w:color w:val="auto"/>
                <w:spacing w:val="-2"/>
                <w:sz w:val="18"/>
                <w:szCs w:val="18"/>
                <w:highlight w:val="none"/>
              </w:rPr>
              <w:t>床位数</w:t>
            </w:r>
          </w:p>
        </w:tc>
        <w:tc>
          <w:tcPr>
            <w:tcW w:w="3825" w:type="dxa"/>
            <w:gridSpan w:val="4"/>
            <w:vAlign w:val="center"/>
          </w:tcPr>
          <w:p>
            <w:pPr>
              <w:spacing w:before="194" w:line="219" w:lineRule="auto"/>
              <w:jc w:val="center"/>
              <w:rPr>
                <w:rFonts w:ascii="宋体" w:hAnsi="宋体" w:eastAsia="宋体" w:cs="宋体"/>
                <w:color w:val="auto"/>
                <w:sz w:val="18"/>
                <w:szCs w:val="18"/>
                <w:highlight w:val="none"/>
              </w:rPr>
            </w:pPr>
            <w:r>
              <w:rPr>
                <w:rFonts w:ascii="宋体" w:hAnsi="宋体" w:eastAsia="宋体" w:cs="宋体"/>
                <w:color w:val="auto"/>
                <w:spacing w:val="-3"/>
                <w:sz w:val="18"/>
                <w:szCs w:val="18"/>
                <w:highlight w:val="none"/>
              </w:rPr>
              <w:t>总床位数</w:t>
            </w:r>
          </w:p>
        </w:tc>
        <w:tc>
          <w:tcPr>
            <w:tcW w:w="3482" w:type="dxa"/>
            <w:gridSpan w:val="5"/>
            <w:vAlign w:val="center"/>
          </w:tcPr>
          <w:p>
            <w:pPr>
              <w:spacing w:before="194" w:line="219" w:lineRule="auto"/>
              <w:jc w:val="center"/>
              <w:rPr>
                <w:rFonts w:ascii="宋体" w:hAnsi="宋体" w:eastAsia="宋体" w:cs="宋体"/>
                <w:color w:val="auto"/>
                <w:sz w:val="18"/>
                <w:szCs w:val="18"/>
                <w:highlight w:val="none"/>
              </w:rPr>
            </w:pPr>
            <w:r>
              <w:rPr>
                <w:rFonts w:ascii="宋体" w:hAnsi="宋体" w:eastAsia="宋体" w:cs="宋体"/>
                <w:color w:val="auto"/>
                <w:spacing w:val="-1"/>
                <w:sz w:val="18"/>
                <w:szCs w:val="18"/>
                <w:highlight w:val="none"/>
              </w:rPr>
              <w:t>长护专区床位数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1231" w:type="dxa"/>
            <w:vMerge w:val="continue"/>
            <w:tcBorders>
              <w:top w:val="nil"/>
            </w:tcBorders>
            <w:vAlign w:val="top"/>
          </w:tcPr>
          <w:p>
            <w:pPr>
              <w:rPr>
                <w:rFonts w:ascii="Arial"/>
                <w:color w:val="auto"/>
                <w:sz w:val="21"/>
                <w:highlight w:val="none"/>
              </w:rPr>
            </w:pPr>
          </w:p>
        </w:tc>
        <w:tc>
          <w:tcPr>
            <w:tcW w:w="3825" w:type="dxa"/>
            <w:gridSpan w:val="4"/>
            <w:vAlign w:val="top"/>
          </w:tcPr>
          <w:p>
            <w:pPr>
              <w:rPr>
                <w:rFonts w:ascii="Arial"/>
                <w:color w:val="auto"/>
                <w:sz w:val="21"/>
                <w:highlight w:val="none"/>
              </w:rPr>
            </w:pPr>
          </w:p>
        </w:tc>
        <w:tc>
          <w:tcPr>
            <w:tcW w:w="3482" w:type="dxa"/>
            <w:gridSpan w:val="5"/>
            <w:vAlign w:val="top"/>
          </w:tcPr>
          <w:p>
            <w:pPr>
              <w:rPr>
                <w:rFonts w:ascii="Arial"/>
                <w:color w:val="auto"/>
                <w:sz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3" w:hRule="atLeast"/>
        </w:trPr>
        <w:tc>
          <w:tcPr>
            <w:tcW w:w="8538" w:type="dxa"/>
            <w:gridSpan w:val="10"/>
            <w:vAlign w:val="top"/>
          </w:tcPr>
          <w:p>
            <w:pPr>
              <w:spacing w:before="0" w:line="560" w:lineRule="exact"/>
              <w:ind w:right="0" w:firstLine="179" w:firstLineChars="100"/>
              <w:jc w:val="left"/>
              <w:rPr>
                <w:rFonts w:ascii="宋体" w:hAnsi="宋体" w:eastAsia="宋体" w:cs="宋体"/>
                <w:b/>
                <w:bCs/>
                <w:color w:val="auto"/>
                <w:sz w:val="18"/>
                <w:szCs w:val="18"/>
                <w:highlight w:val="none"/>
              </w:rPr>
            </w:pPr>
            <w:r>
              <w:rPr>
                <w:rFonts w:hint="eastAsia" w:ascii="宋体" w:hAnsi="宋体" w:cs="宋体"/>
                <w:b/>
                <w:bCs/>
                <w:color w:val="auto"/>
                <w:spacing w:val="-1"/>
                <w:sz w:val="18"/>
                <w:szCs w:val="18"/>
                <w:highlight w:val="none"/>
                <w:lang w:val="en-US" w:eastAsia="zh-CN"/>
              </w:rPr>
              <w:t>本机构</w:t>
            </w:r>
            <w:r>
              <w:rPr>
                <w:rFonts w:ascii="宋体" w:hAnsi="宋体" w:eastAsia="宋体" w:cs="宋体"/>
                <w:b/>
                <w:bCs/>
                <w:color w:val="auto"/>
                <w:spacing w:val="-1"/>
                <w:sz w:val="18"/>
                <w:szCs w:val="18"/>
                <w:highlight w:val="none"/>
              </w:rPr>
              <w:t>自愿承担长期护理保险护理服务，申请成为长期护理保险护理</w:t>
            </w:r>
            <w:r>
              <w:rPr>
                <w:rFonts w:ascii="宋体" w:hAnsi="宋体" w:eastAsia="宋体" w:cs="宋体"/>
                <w:b/>
                <w:bCs/>
                <w:color w:val="auto"/>
                <w:spacing w:val="-2"/>
                <w:sz w:val="18"/>
                <w:szCs w:val="18"/>
                <w:highlight w:val="none"/>
              </w:rPr>
              <w:t>服务</w:t>
            </w:r>
            <w:r>
              <w:rPr>
                <w:rFonts w:hint="eastAsia" w:ascii="宋体" w:hAnsi="宋体" w:cs="宋体"/>
                <w:b/>
                <w:bCs/>
                <w:color w:val="auto"/>
                <w:spacing w:val="-2"/>
                <w:sz w:val="18"/>
                <w:szCs w:val="18"/>
                <w:highlight w:val="none"/>
                <w:lang w:eastAsia="zh-CN"/>
              </w:rPr>
              <w:t>定点</w:t>
            </w:r>
            <w:r>
              <w:rPr>
                <w:rFonts w:ascii="宋体" w:hAnsi="宋体" w:eastAsia="宋体" w:cs="宋体"/>
                <w:b/>
                <w:bCs/>
                <w:color w:val="auto"/>
                <w:spacing w:val="-2"/>
                <w:sz w:val="18"/>
                <w:szCs w:val="18"/>
                <w:highlight w:val="none"/>
              </w:rPr>
              <w:t>机构，本单位承</w:t>
            </w:r>
            <w:r>
              <w:rPr>
                <w:rFonts w:hint="eastAsia" w:ascii="宋体" w:hAnsi="宋体" w:cs="宋体"/>
                <w:b/>
                <w:bCs/>
                <w:color w:val="auto"/>
                <w:spacing w:val="-2"/>
                <w:sz w:val="18"/>
                <w:szCs w:val="18"/>
                <w:highlight w:val="none"/>
                <w:lang w:eastAsia="zh-CN"/>
              </w:rPr>
              <w:t>诺</w:t>
            </w:r>
            <w:r>
              <w:rPr>
                <w:rFonts w:hint="eastAsia" w:ascii="宋体" w:hAnsi="宋体" w:cs="宋体"/>
                <w:b/>
                <w:bCs/>
                <w:color w:val="auto"/>
                <w:spacing w:val="-2"/>
                <w:sz w:val="18"/>
                <w:szCs w:val="18"/>
                <w:highlight w:val="none"/>
                <w:lang w:val="en-US" w:eastAsia="zh-CN"/>
              </w:rPr>
              <w:t>;本次提供</w:t>
            </w:r>
            <w:r>
              <w:rPr>
                <w:rFonts w:ascii="宋体" w:hAnsi="宋体" w:eastAsia="宋体" w:cs="宋体"/>
                <w:b/>
                <w:bCs/>
                <w:color w:val="auto"/>
                <w:spacing w:val="2"/>
                <w:position w:val="18"/>
                <w:sz w:val="18"/>
                <w:szCs w:val="18"/>
                <w:highlight w:val="none"/>
              </w:rPr>
              <w:t>的所有申请材料均真实有效，如提供材料虚假、不真实的，承担由此引起的一切责任和后</w:t>
            </w:r>
            <w:r>
              <w:rPr>
                <w:rFonts w:ascii="宋体" w:hAnsi="宋体" w:eastAsia="宋体" w:cs="宋体"/>
                <w:b/>
                <w:bCs/>
                <w:color w:val="auto"/>
                <w:spacing w:val="1"/>
                <w:position w:val="18"/>
                <w:sz w:val="18"/>
                <w:szCs w:val="18"/>
                <w:highlight w:val="none"/>
              </w:rPr>
              <w:t>果。</w:t>
            </w:r>
          </w:p>
          <w:p>
            <w:pPr>
              <w:spacing w:line="228" w:lineRule="auto"/>
              <w:ind w:left="84"/>
              <w:rPr>
                <w:rFonts w:ascii="宋体" w:hAnsi="宋体" w:eastAsia="宋体" w:cs="宋体"/>
                <w:color w:val="auto"/>
                <w:sz w:val="18"/>
                <w:szCs w:val="18"/>
                <w:highlight w:val="none"/>
              </w:rPr>
            </w:pPr>
            <w:r>
              <w:rPr>
                <w:rFonts w:ascii="宋体" w:hAnsi="宋体" w:eastAsia="宋体" w:cs="宋体"/>
                <w:color w:val="auto"/>
                <w:spacing w:val="13"/>
                <w:sz w:val="18"/>
                <w:szCs w:val="18"/>
                <w:highlight w:val="none"/>
              </w:rPr>
              <w:t>法人代表签字(盖章):</w:t>
            </w:r>
            <w:r>
              <w:rPr>
                <w:rFonts w:ascii="宋体" w:hAnsi="宋体" w:eastAsia="宋体" w:cs="宋体"/>
                <w:color w:val="auto"/>
                <w:spacing w:val="1"/>
                <w:sz w:val="18"/>
                <w:szCs w:val="18"/>
                <w:highlight w:val="none"/>
              </w:rPr>
              <w:t xml:space="preserve">                     </w:t>
            </w:r>
            <w:r>
              <w:rPr>
                <w:rFonts w:ascii="宋体" w:hAnsi="宋体" w:eastAsia="宋体" w:cs="宋体"/>
                <w:color w:val="auto"/>
                <w:sz w:val="18"/>
                <w:szCs w:val="18"/>
                <w:highlight w:val="none"/>
              </w:rPr>
              <w:t xml:space="preserve">     </w:t>
            </w:r>
            <w:r>
              <w:rPr>
                <w:rFonts w:ascii="宋体" w:hAnsi="宋体" w:eastAsia="宋体" w:cs="宋体"/>
                <w:color w:val="auto"/>
                <w:spacing w:val="13"/>
                <w:position w:val="-1"/>
                <w:sz w:val="18"/>
                <w:szCs w:val="18"/>
                <w:highlight w:val="none"/>
              </w:rPr>
              <w:t>单位(盖章):</w:t>
            </w:r>
          </w:p>
          <w:p>
            <w:pPr>
              <w:spacing w:before="177" w:line="219" w:lineRule="auto"/>
              <w:ind w:left="6615"/>
              <w:rPr>
                <w:rFonts w:ascii="宋体" w:hAnsi="宋体" w:eastAsia="宋体" w:cs="宋体"/>
                <w:color w:val="auto"/>
                <w:sz w:val="18"/>
                <w:szCs w:val="18"/>
                <w:highlight w:val="none"/>
              </w:rPr>
            </w:pPr>
            <w:r>
              <w:rPr>
                <w:rFonts w:ascii="宋体" w:hAnsi="宋体" w:eastAsia="宋体" w:cs="宋体"/>
                <w:color w:val="auto"/>
                <w:spacing w:val="-7"/>
                <w:sz w:val="18"/>
                <w:szCs w:val="18"/>
                <w:highlight w:val="none"/>
              </w:rPr>
              <w:t>年</w:t>
            </w:r>
            <w:r>
              <w:rPr>
                <w:rFonts w:ascii="宋体" w:hAnsi="宋体" w:eastAsia="宋体" w:cs="宋体"/>
                <w:color w:val="auto"/>
                <w:spacing w:val="10"/>
                <w:sz w:val="18"/>
                <w:szCs w:val="18"/>
                <w:highlight w:val="none"/>
              </w:rPr>
              <w:t xml:space="preserve">   </w:t>
            </w:r>
            <w:r>
              <w:rPr>
                <w:rFonts w:ascii="宋体" w:hAnsi="宋体" w:eastAsia="宋体" w:cs="宋体"/>
                <w:color w:val="auto"/>
                <w:spacing w:val="-7"/>
                <w:sz w:val="18"/>
                <w:szCs w:val="18"/>
                <w:highlight w:val="none"/>
              </w:rPr>
              <w:t>月</w:t>
            </w:r>
            <w:r>
              <w:rPr>
                <w:rFonts w:ascii="宋体" w:hAnsi="宋体" w:eastAsia="宋体" w:cs="宋体"/>
                <w:color w:val="auto"/>
                <w:spacing w:val="20"/>
                <w:sz w:val="18"/>
                <w:szCs w:val="18"/>
                <w:highlight w:val="none"/>
              </w:rPr>
              <w:t xml:space="preserve">   </w:t>
            </w:r>
            <w:r>
              <w:rPr>
                <w:rFonts w:ascii="宋体" w:hAnsi="宋体" w:eastAsia="宋体" w:cs="宋体"/>
                <w:color w:val="auto"/>
                <w:spacing w:val="-7"/>
                <w:sz w:val="18"/>
                <w:szCs w:val="18"/>
                <w:highlight w:val="none"/>
              </w:rPr>
              <w:t>日</w:t>
            </w:r>
          </w:p>
        </w:tc>
      </w:tr>
    </w:tbl>
    <w:p>
      <w:pPr>
        <w:pStyle w:val="7"/>
        <w:keepNext w:val="0"/>
        <w:keepLines w:val="0"/>
        <w:pageBreakBefore w:val="0"/>
        <w:kinsoku/>
        <w:wordWrap/>
        <w:topLinePunct w:val="0"/>
        <w:bidi w:val="0"/>
        <w:spacing w:line="240" w:lineRule="auto"/>
        <w:ind w:left="0" w:leftChars="0" w:firstLine="0" w:firstLineChars="0"/>
        <w:jc w:val="both"/>
        <w:textAlignment w:val="auto"/>
        <w:rPr>
          <w:rFonts w:hint="eastAsia" w:ascii="方正仿宋_GB2312" w:hAnsi="方正仿宋_GB2312" w:eastAsia="方正仿宋_GB2312" w:cs="方正仿宋_GB2312"/>
          <w:b w:val="0"/>
          <w:bCs w:val="0"/>
          <w:color w:val="auto"/>
          <w:sz w:val="32"/>
          <w:szCs w:val="32"/>
          <w:highlight w:val="none"/>
          <w:lang w:val="en-US"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附件3</w:t>
      </w:r>
    </w:p>
    <w:tbl>
      <w:tblPr>
        <w:tblStyle w:val="8"/>
        <w:tblW w:w="14280" w:type="dxa"/>
        <w:tblInd w:w="-5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108" w:type="dxa"/>
          <w:bottom w:w="0" w:type="dxa"/>
          <w:right w:w="108" w:type="dxa"/>
        </w:tblCellMar>
      </w:tblPr>
      <w:tblGrid>
        <w:gridCol w:w="720"/>
        <w:gridCol w:w="450"/>
        <w:gridCol w:w="1410"/>
        <w:gridCol w:w="10245"/>
        <w:gridCol w:w="750"/>
        <w:gridCol w:w="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30" w:hRule="atLeast"/>
        </w:trPr>
        <w:tc>
          <w:tcPr>
            <w:tcW w:w="14280" w:type="dxa"/>
            <w:gridSpan w:val="6"/>
            <w:tcBorders>
              <w:tl2br w:val="nil"/>
              <w:tr2bl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方正小标宋简体" w:hAnsi="方正小标宋简体" w:eastAsia="方正小标宋简体" w:cs="方正小标宋简体"/>
                <w:i w:val="0"/>
                <w:color w:val="auto"/>
                <w:sz w:val="48"/>
                <w:szCs w:val="48"/>
                <w:highlight w:val="none"/>
                <w:u w:val="none"/>
              </w:rPr>
            </w:pPr>
            <w:r>
              <w:rPr>
                <w:rStyle w:val="11"/>
                <w:color w:val="auto"/>
                <w:sz w:val="44"/>
                <w:szCs w:val="44"/>
                <w:highlight w:val="none"/>
                <w:lang w:val="en-US" w:eastAsia="zh-CN" w:bidi="ar"/>
              </w:rPr>
              <w:t>温州市</w:t>
            </w:r>
            <w:r>
              <w:rPr>
                <w:rStyle w:val="11"/>
                <w:rFonts w:hint="eastAsia"/>
                <w:i w:val="0"/>
                <w:color w:val="auto"/>
                <w:sz w:val="44"/>
                <w:szCs w:val="44"/>
                <w:highlight w:val="none"/>
                <w:u w:val="none"/>
                <w:lang w:val="en-US" w:eastAsia="zh-CN" w:bidi="ar"/>
              </w:rPr>
              <w:t>长期护理保险全日入住类定点护理机构评估表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72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指标</w:t>
            </w:r>
          </w:p>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类型</w:t>
            </w: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序号</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评估项目及分值</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评  分  标  准</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自评</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情况</w:t>
            </w:r>
          </w:p>
        </w:tc>
        <w:tc>
          <w:tcPr>
            <w:tcW w:w="70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评估</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7" w:hRule="atLeast"/>
        </w:trPr>
        <w:tc>
          <w:tcPr>
            <w:tcW w:w="72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b/>
                <w:i w:val="0"/>
                <w:color w:val="auto"/>
                <w:kern w:val="0"/>
                <w:sz w:val="22"/>
                <w:szCs w:val="22"/>
                <w:highlight w:val="none"/>
                <w:u w:val="none"/>
                <w:lang w:val="en-US" w:eastAsia="zh-CN" w:bidi="ar"/>
              </w:rPr>
            </w:pPr>
            <w:r>
              <w:rPr>
                <w:rFonts w:hint="eastAsia" w:ascii="仿宋_GB2312" w:hAnsi="宋体" w:eastAsia="仿宋_GB2312" w:cs="仿宋_GB2312"/>
                <w:b/>
                <w:i w:val="0"/>
                <w:color w:val="auto"/>
                <w:kern w:val="0"/>
                <w:sz w:val="22"/>
                <w:szCs w:val="22"/>
                <w:highlight w:val="none"/>
                <w:u w:val="none"/>
                <w:lang w:val="en-US" w:eastAsia="zh-CN" w:bidi="ar"/>
              </w:rPr>
              <w:t>基础</w:t>
            </w:r>
          </w:p>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b/>
                <w:i w:val="0"/>
                <w:color w:val="auto"/>
                <w:sz w:val="22"/>
                <w:szCs w:val="22"/>
                <w:highlight w:val="none"/>
                <w:u w:val="none"/>
              </w:rPr>
            </w:pPr>
            <w:r>
              <w:rPr>
                <w:rFonts w:hint="eastAsia" w:ascii="仿宋_GB2312" w:hAnsi="宋体" w:eastAsia="仿宋_GB2312" w:cs="仿宋_GB2312"/>
                <w:b/>
                <w:i w:val="0"/>
                <w:color w:val="auto"/>
                <w:kern w:val="0"/>
                <w:sz w:val="22"/>
                <w:szCs w:val="22"/>
                <w:highlight w:val="none"/>
                <w:u w:val="none"/>
                <w:lang w:val="en-US" w:eastAsia="zh-CN" w:bidi="ar"/>
              </w:rPr>
              <w:t>指标</w:t>
            </w: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1</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经营时间</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正式运营是否已达 3 个月，“否”即为不合格。</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5"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2</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服务场所</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业务用房有效使用期限是否已不少于3年（自提出定点申请之日算起）。“否”即为不合格。</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60"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3</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经营资质</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color w:val="auto"/>
                <w:kern w:val="0"/>
                <w:sz w:val="22"/>
                <w:szCs w:val="22"/>
                <w:highlight w:val="none"/>
                <w:u w:val="none"/>
                <w:vertAlign w:val="baseline"/>
                <w:lang w:val="en-US" w:eastAsia="zh-CN" w:bidi="ar"/>
              </w:rPr>
              <w:t>医疗</w:t>
            </w:r>
            <w:r>
              <w:rPr>
                <w:rFonts w:hint="eastAsia" w:ascii="仿宋_GB2312" w:hAnsi="宋体" w:eastAsia="仿宋_GB2312" w:cs="仿宋_GB2312"/>
                <w:color w:val="auto"/>
                <w:kern w:val="0"/>
                <w:sz w:val="22"/>
                <w:szCs w:val="22"/>
                <w:highlight w:val="none"/>
                <w:u w:val="none"/>
                <w:vertAlign w:val="baseline"/>
                <w:lang w:bidi="ar"/>
              </w:rPr>
              <w:t>机构</w:t>
            </w:r>
            <w:r>
              <w:rPr>
                <w:rFonts w:hint="eastAsia" w:ascii="仿宋_GB2312" w:hAnsi="宋体" w:eastAsia="仿宋_GB2312" w:cs="仿宋_GB2312"/>
                <w:color w:val="auto"/>
                <w:kern w:val="0"/>
                <w:sz w:val="22"/>
                <w:szCs w:val="22"/>
                <w:highlight w:val="none"/>
                <w:lang w:val="en-US" w:eastAsia="zh-CN" w:bidi="ar"/>
              </w:rPr>
              <w:t>是否依法</w:t>
            </w:r>
            <w:r>
              <w:rPr>
                <w:rFonts w:hint="eastAsia" w:ascii="仿宋_GB2312" w:hAnsi="宋体" w:eastAsia="仿宋_GB2312" w:cs="仿宋_GB2312"/>
                <w:color w:val="auto"/>
                <w:kern w:val="0"/>
                <w:sz w:val="22"/>
                <w:szCs w:val="22"/>
                <w:highlight w:val="none"/>
                <w:u w:val="none"/>
                <w:vertAlign w:val="baseline"/>
                <w:lang w:bidi="ar"/>
              </w:rPr>
              <w:t>取得《医疗机构执业许可证》</w:t>
            </w:r>
            <w:r>
              <w:rPr>
                <w:rFonts w:hint="eastAsia" w:ascii="仿宋_GB2312" w:hAnsi="宋体" w:eastAsia="仿宋_GB2312" w:cs="仿宋_GB2312"/>
                <w:color w:val="auto"/>
                <w:kern w:val="0"/>
                <w:sz w:val="22"/>
                <w:szCs w:val="22"/>
                <w:highlight w:val="none"/>
                <w:u w:val="none"/>
                <w:vertAlign w:val="baseline"/>
                <w:lang w:val="en-US" w:eastAsia="zh-CN" w:bidi="ar"/>
              </w:rPr>
              <w:t>并</w:t>
            </w:r>
            <w:r>
              <w:rPr>
                <w:rFonts w:hint="eastAsia" w:ascii="仿宋_GB2312" w:hAnsi="宋体" w:eastAsia="仿宋_GB2312" w:cs="仿宋_GB2312"/>
                <w:color w:val="auto"/>
                <w:kern w:val="0"/>
                <w:sz w:val="22"/>
                <w:szCs w:val="22"/>
                <w:highlight w:val="none"/>
                <w:lang w:bidi="ar"/>
              </w:rPr>
              <w:t>符合国家</w:t>
            </w:r>
            <w:r>
              <w:rPr>
                <w:rFonts w:hint="eastAsia" w:ascii="仿宋_GB2312" w:hAnsi="宋体" w:eastAsia="仿宋_GB2312" w:cs="仿宋_GB2312"/>
                <w:color w:val="auto"/>
                <w:kern w:val="0"/>
                <w:sz w:val="22"/>
                <w:szCs w:val="22"/>
                <w:highlight w:val="none"/>
                <w:lang w:val="en-US" w:eastAsia="zh-CN" w:bidi="ar"/>
              </w:rPr>
              <w:t>和本市卫健主管部门</w:t>
            </w:r>
            <w:r>
              <w:rPr>
                <w:rFonts w:hint="eastAsia" w:ascii="仿宋_GB2312" w:hAnsi="宋体" w:eastAsia="仿宋_GB2312" w:cs="仿宋_GB2312"/>
                <w:color w:val="auto"/>
                <w:kern w:val="0"/>
                <w:sz w:val="22"/>
                <w:szCs w:val="22"/>
                <w:highlight w:val="none"/>
                <w:lang w:bidi="ar"/>
              </w:rPr>
              <w:t>规定的</w:t>
            </w:r>
            <w:r>
              <w:rPr>
                <w:rFonts w:hint="eastAsia" w:ascii="仿宋_GB2312" w:hAnsi="宋体" w:eastAsia="仿宋_GB2312" w:cs="仿宋_GB2312"/>
                <w:color w:val="auto"/>
                <w:kern w:val="0"/>
                <w:sz w:val="22"/>
                <w:szCs w:val="22"/>
                <w:highlight w:val="none"/>
                <w:lang w:val="en-US" w:eastAsia="zh-CN" w:bidi="ar"/>
              </w:rPr>
              <w:t>医疗机构</w:t>
            </w:r>
            <w:r>
              <w:rPr>
                <w:rFonts w:hint="eastAsia" w:ascii="仿宋_GB2312" w:hAnsi="宋体" w:eastAsia="仿宋_GB2312" w:cs="仿宋_GB2312"/>
                <w:color w:val="auto"/>
                <w:kern w:val="0"/>
                <w:sz w:val="22"/>
                <w:szCs w:val="22"/>
                <w:highlight w:val="none"/>
                <w:lang w:bidi="ar"/>
              </w:rPr>
              <w:t>设置</w:t>
            </w:r>
            <w:r>
              <w:rPr>
                <w:rFonts w:hint="eastAsia" w:ascii="仿宋_GB2312" w:hAnsi="宋体" w:eastAsia="仿宋_GB2312" w:cs="仿宋_GB2312"/>
                <w:color w:val="auto"/>
                <w:kern w:val="0"/>
                <w:sz w:val="22"/>
                <w:szCs w:val="22"/>
                <w:highlight w:val="none"/>
                <w:lang w:val="en-US" w:eastAsia="zh-CN" w:bidi="ar"/>
              </w:rPr>
              <w:t>及</w:t>
            </w:r>
            <w:r>
              <w:rPr>
                <w:rFonts w:hint="eastAsia" w:ascii="仿宋_GB2312" w:hAnsi="宋体" w:eastAsia="仿宋_GB2312" w:cs="仿宋_GB2312"/>
                <w:color w:val="auto"/>
                <w:kern w:val="0"/>
                <w:sz w:val="22"/>
                <w:szCs w:val="22"/>
                <w:highlight w:val="none"/>
                <w:lang w:bidi="ar"/>
              </w:rPr>
              <w:t>执业标准</w:t>
            </w:r>
            <w:r>
              <w:rPr>
                <w:rFonts w:hint="eastAsia" w:ascii="仿宋_GB2312" w:hAnsi="宋体" w:eastAsia="仿宋_GB2312" w:cs="仿宋_GB2312"/>
                <w:color w:val="auto"/>
                <w:kern w:val="0"/>
                <w:sz w:val="22"/>
                <w:szCs w:val="22"/>
                <w:highlight w:val="none"/>
                <w:u w:val="none"/>
                <w:vertAlign w:val="baseline"/>
                <w:lang w:bidi="ar"/>
              </w:rPr>
              <w:t>的</w:t>
            </w:r>
            <w:r>
              <w:rPr>
                <w:rFonts w:hint="eastAsia" w:ascii="仿宋_GB2312" w:hAnsi="宋体" w:eastAsia="仿宋_GB2312" w:cs="仿宋_GB2312"/>
                <w:color w:val="auto"/>
                <w:kern w:val="0"/>
                <w:sz w:val="22"/>
                <w:szCs w:val="22"/>
                <w:highlight w:val="none"/>
                <w:u w:val="none"/>
                <w:vertAlign w:val="baseline"/>
                <w:lang w:eastAsia="zh-CN" w:bidi="ar"/>
              </w:rPr>
              <w:t>。</w:t>
            </w:r>
            <w:r>
              <w:rPr>
                <w:rFonts w:hint="eastAsia" w:ascii="仿宋_GB2312" w:hAnsi="宋体" w:eastAsia="仿宋_GB2312" w:cs="仿宋_GB2312"/>
                <w:color w:val="auto"/>
                <w:kern w:val="0"/>
                <w:sz w:val="22"/>
                <w:szCs w:val="22"/>
                <w:highlight w:val="none"/>
                <w:u w:val="none"/>
                <w:vertAlign w:val="baseline"/>
                <w:lang w:bidi="ar"/>
              </w:rPr>
              <w:t>养老机构</w:t>
            </w:r>
            <w:r>
              <w:rPr>
                <w:rFonts w:hint="eastAsia" w:ascii="仿宋_GB2312" w:hAnsi="宋体" w:eastAsia="仿宋_GB2312" w:cs="仿宋_GB2312"/>
                <w:color w:val="auto"/>
                <w:kern w:val="0"/>
                <w:sz w:val="22"/>
                <w:szCs w:val="22"/>
                <w:highlight w:val="none"/>
                <w:u w:val="none"/>
                <w:vertAlign w:val="baseline"/>
                <w:lang w:val="en-US" w:eastAsia="zh-CN" w:bidi="ar"/>
              </w:rPr>
              <w:t>是否</w:t>
            </w:r>
            <w:r>
              <w:rPr>
                <w:rFonts w:hint="eastAsia" w:ascii="仿宋_GB2312" w:hAnsi="宋体" w:eastAsia="仿宋_GB2312" w:cs="仿宋_GB2312"/>
                <w:color w:val="auto"/>
                <w:kern w:val="0"/>
                <w:sz w:val="22"/>
                <w:szCs w:val="22"/>
                <w:highlight w:val="none"/>
                <w:u w:val="none"/>
                <w:vertAlign w:val="baseline"/>
                <w:lang w:bidi="ar"/>
              </w:rPr>
              <w:t>依法取得《养老机构设立许可证》或在民政部门备案的</w:t>
            </w:r>
            <w:r>
              <w:rPr>
                <w:rFonts w:hint="eastAsia" w:ascii="仿宋_GB2312" w:hAnsi="宋体" w:eastAsia="仿宋_GB2312" w:cs="仿宋_GB2312"/>
                <w:color w:val="auto"/>
                <w:kern w:val="0"/>
                <w:sz w:val="22"/>
                <w:szCs w:val="22"/>
                <w:highlight w:val="none"/>
                <w:u w:val="none"/>
                <w:vertAlign w:val="baseline"/>
                <w:lang w:eastAsia="zh-CN" w:bidi="ar"/>
              </w:rPr>
              <w:t>，</w:t>
            </w:r>
            <w:r>
              <w:rPr>
                <w:rFonts w:hint="eastAsia" w:ascii="仿宋_GB2312" w:hAnsi="宋体" w:eastAsia="仿宋_GB2312" w:cs="仿宋_GB2312"/>
                <w:color w:val="auto"/>
                <w:kern w:val="0"/>
                <w:sz w:val="22"/>
                <w:szCs w:val="22"/>
                <w:highlight w:val="none"/>
                <w:u w:val="none"/>
                <w:vertAlign w:val="baseline"/>
                <w:lang w:bidi="ar"/>
              </w:rPr>
              <w:t>社区居家养老服务机构</w:t>
            </w:r>
            <w:r>
              <w:rPr>
                <w:rFonts w:hint="eastAsia" w:ascii="仿宋_GB2312" w:hAnsi="宋体" w:eastAsia="仿宋_GB2312" w:cs="仿宋_GB2312"/>
                <w:color w:val="auto"/>
                <w:kern w:val="0"/>
                <w:sz w:val="22"/>
                <w:szCs w:val="22"/>
                <w:highlight w:val="none"/>
                <w:u w:val="none"/>
                <w:vertAlign w:val="baseline"/>
                <w:lang w:val="en-US" w:eastAsia="zh-CN" w:bidi="ar"/>
              </w:rPr>
              <w:t>是否已取得《民办非企业单位登记证书》或已</w:t>
            </w:r>
            <w:r>
              <w:rPr>
                <w:rFonts w:hint="eastAsia" w:ascii="仿宋_GB2312" w:hAnsi="宋体" w:eastAsia="仿宋_GB2312" w:cs="仿宋_GB2312"/>
                <w:color w:val="auto"/>
                <w:kern w:val="0"/>
                <w:sz w:val="22"/>
                <w:szCs w:val="22"/>
                <w:highlight w:val="none"/>
                <w:u w:val="none"/>
                <w:vertAlign w:val="baseline"/>
                <w:lang w:bidi="ar"/>
              </w:rPr>
              <w:t>在</w:t>
            </w:r>
            <w:r>
              <w:rPr>
                <w:rFonts w:hint="eastAsia" w:ascii="仿宋_GB2312" w:hAnsi="宋体" w:eastAsia="仿宋_GB2312" w:cs="仿宋_GB2312"/>
                <w:color w:val="auto"/>
                <w:kern w:val="0"/>
                <w:sz w:val="22"/>
                <w:szCs w:val="22"/>
                <w:highlight w:val="none"/>
                <w:u w:val="none"/>
                <w:vertAlign w:val="baseline"/>
                <w:lang w:val="en-US" w:eastAsia="zh-CN" w:bidi="ar"/>
              </w:rPr>
              <w:t>工商管理部门登记的，并</w:t>
            </w:r>
            <w:r>
              <w:rPr>
                <w:rFonts w:hint="eastAsia" w:ascii="仿宋_GB2312" w:hAnsi="宋体" w:eastAsia="仿宋_GB2312" w:cs="仿宋_GB2312"/>
                <w:color w:val="auto"/>
                <w:kern w:val="0"/>
                <w:sz w:val="22"/>
                <w:szCs w:val="22"/>
                <w:highlight w:val="none"/>
                <w:lang w:bidi="ar"/>
              </w:rPr>
              <w:t>符合国家和本市</w:t>
            </w:r>
            <w:r>
              <w:rPr>
                <w:rFonts w:hint="eastAsia" w:ascii="仿宋_GB2312" w:hAnsi="宋体" w:eastAsia="仿宋_GB2312" w:cs="仿宋_GB2312"/>
                <w:color w:val="auto"/>
                <w:kern w:val="0"/>
                <w:sz w:val="22"/>
                <w:szCs w:val="22"/>
                <w:highlight w:val="none"/>
                <w:lang w:val="en-US" w:eastAsia="zh-CN" w:bidi="ar"/>
              </w:rPr>
              <w:t>民政部门</w:t>
            </w:r>
            <w:r>
              <w:rPr>
                <w:rFonts w:hint="eastAsia" w:ascii="仿宋_GB2312" w:hAnsi="宋体" w:eastAsia="仿宋_GB2312" w:cs="仿宋_GB2312"/>
                <w:color w:val="auto"/>
                <w:kern w:val="0"/>
                <w:sz w:val="22"/>
                <w:szCs w:val="22"/>
                <w:highlight w:val="none"/>
                <w:lang w:bidi="ar"/>
              </w:rPr>
              <w:t>规定的设置、服务标准</w:t>
            </w:r>
            <w:r>
              <w:rPr>
                <w:rFonts w:hint="eastAsia" w:ascii="仿宋_GB2312" w:hAnsi="宋体" w:eastAsia="仿宋_GB2312" w:cs="仿宋_GB2312"/>
                <w:color w:val="auto"/>
                <w:kern w:val="0"/>
                <w:sz w:val="22"/>
                <w:szCs w:val="22"/>
                <w:highlight w:val="none"/>
                <w:u w:val="none"/>
                <w:vertAlign w:val="baseline"/>
                <w:lang w:val="en-US" w:eastAsia="zh-CN" w:bidi="ar"/>
              </w:rPr>
              <w:t>。</w:t>
            </w:r>
            <w:r>
              <w:rPr>
                <w:rFonts w:hint="eastAsia" w:ascii="仿宋_GB2312" w:hAnsi="宋体" w:eastAsia="仿宋_GB2312" w:cs="仿宋_GB2312"/>
                <w:i w:val="0"/>
                <w:color w:val="auto"/>
                <w:kern w:val="0"/>
                <w:sz w:val="22"/>
                <w:szCs w:val="22"/>
                <w:highlight w:val="none"/>
                <w:u w:val="none"/>
                <w:lang w:val="en-US" w:eastAsia="zh-CN" w:bidi="ar"/>
              </w:rPr>
              <w:t>“否”即为不合格。</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1"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4</w:t>
            </w:r>
          </w:p>
        </w:tc>
        <w:tc>
          <w:tcPr>
            <w:tcW w:w="1410" w:type="dxa"/>
            <w:tcBorders>
              <w:tl2br w:val="nil"/>
              <w:tr2bl w:val="nil"/>
            </w:tcBorders>
            <w:shd w:val="clear" w:color="auto" w:fill="auto"/>
            <w:vAlign w:val="center"/>
          </w:tcPr>
          <w:p>
            <w:pPr>
              <w:keepNext w:val="0"/>
              <w:keepLines w:val="0"/>
              <w:pageBreakBefore w:val="0"/>
              <w:widowControl/>
              <w:suppressLineNumbers w:val="0"/>
              <w:tabs>
                <w:tab w:val="left" w:pos="306"/>
              </w:tabs>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人员资质</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医疗机构医护人员需持有卫健主管部门颁发医师及护士执业证书，医疗机构护理人员及养老机构护理人员需持有人社部颁发技能人员职业资格证书（国家</w:t>
            </w:r>
            <w:r>
              <w:rPr>
                <w:rFonts w:hint="default" w:ascii="仿宋_GB2312" w:hAnsi="宋体" w:eastAsia="仿宋_GB2312" w:cs="仿宋_GB2312"/>
                <w:i w:val="0"/>
                <w:color w:val="auto"/>
                <w:kern w:val="0"/>
                <w:sz w:val="22"/>
                <w:szCs w:val="22"/>
                <w:highlight w:val="none"/>
                <w:u w:val="none"/>
                <w:lang w:eastAsia="zh-CN" w:bidi="ar"/>
              </w:rPr>
              <w:t>或浙江省</w:t>
            </w:r>
            <w:r>
              <w:rPr>
                <w:rFonts w:hint="eastAsia" w:ascii="仿宋_GB2312" w:hAnsi="宋体" w:eastAsia="仿宋_GB2312" w:cs="仿宋_GB2312"/>
                <w:i w:val="0"/>
                <w:color w:val="auto"/>
                <w:kern w:val="0"/>
                <w:sz w:val="22"/>
                <w:szCs w:val="22"/>
                <w:highlight w:val="none"/>
                <w:u w:val="none"/>
                <w:lang w:val="en-US" w:eastAsia="zh-CN" w:bidi="ar"/>
              </w:rPr>
              <w:t>人社政务服务平台可查询），“否”即为不合格。</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21"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5</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长期护理保险服务专区</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长期护理服务专区是否独立设置，并有明显标志。</w:t>
            </w:r>
            <w:r>
              <w:rPr>
                <w:rStyle w:val="12"/>
                <w:rFonts w:hAnsi="宋体"/>
                <w:color w:val="auto"/>
                <w:highlight w:val="none"/>
                <w:lang w:val="en-US" w:eastAsia="zh-CN" w:bidi="ar"/>
              </w:rPr>
              <w:t>是否提供至少20张长期护理床位</w:t>
            </w:r>
            <w:r>
              <w:rPr>
                <w:rStyle w:val="13"/>
                <w:rFonts w:hAnsi="宋体"/>
                <w:color w:val="auto"/>
                <w:highlight w:val="none"/>
                <w:lang w:val="en-US" w:eastAsia="zh-CN" w:bidi="ar"/>
              </w:rPr>
              <w:t>。</w:t>
            </w:r>
            <w:r>
              <w:rPr>
                <w:rStyle w:val="14"/>
                <w:rFonts w:hAnsi="宋体"/>
                <w:color w:val="auto"/>
                <w:highlight w:val="none"/>
                <w:lang w:val="en-US" w:eastAsia="zh-CN" w:bidi="ar"/>
              </w:rPr>
              <w:t>“否”即为不合格</w:t>
            </w:r>
            <w:r>
              <w:rPr>
                <w:rStyle w:val="13"/>
                <w:rFonts w:hAnsi="宋体"/>
                <w:color w:val="auto"/>
                <w:highlight w:val="none"/>
                <w:lang w:val="en-US" w:eastAsia="zh-CN" w:bidi="ar"/>
              </w:rPr>
              <w:t>。</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25"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6</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制度建设</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是否有符合长护险协议管理要求的护理服务管理制度、人员管理、财务制度、信息管理、档案管理制度，“否”即为不合格。</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37"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7</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信息系统</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是否已确定系统开发商，并已签订合作协议。“否”即为不合格。</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0"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8</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医疗设备</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是否具备必要的消毒、灭菌设备 (或与符合资质的消毒供应中心签订有合作协议) 。“否”即为不合格。</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00"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9</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信用制度</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机构是否未依法缴纳各项税费的，机构的法定代表人、主要负责人或实际控制人是否有被列入失信人名单的，“是”即为不合格。</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15"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color w:val="auto"/>
                <w:sz w:val="22"/>
                <w:szCs w:val="22"/>
                <w:highlight w:val="none"/>
                <w:u w:val="none"/>
                <w:lang w:val="en-US"/>
              </w:rPr>
            </w:pPr>
            <w:r>
              <w:rPr>
                <w:rFonts w:hint="eastAsia" w:ascii="仿宋_GB2312" w:hAnsi="宋体" w:eastAsia="仿宋_GB2312" w:cs="仿宋_GB2312"/>
                <w:i w:val="0"/>
                <w:color w:val="auto"/>
                <w:kern w:val="0"/>
                <w:sz w:val="22"/>
                <w:szCs w:val="22"/>
                <w:highlight w:val="none"/>
                <w:u w:val="none"/>
                <w:lang w:val="en-US" w:eastAsia="zh-CN" w:bidi="ar"/>
              </w:rPr>
              <w:t>10</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长期护理保险管理</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是否配备至少1名长期护理专职管理人员；服务能力在100人以上的定点护理机构是否设有独立的长期护理保险管理部门，“否”即为不合格。</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8"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color w:val="auto"/>
                <w:sz w:val="22"/>
                <w:szCs w:val="22"/>
                <w:highlight w:val="none"/>
                <w:u w:val="none"/>
                <w:lang w:val="en-US"/>
              </w:rPr>
            </w:pPr>
            <w:r>
              <w:rPr>
                <w:rFonts w:hint="eastAsia" w:ascii="仿宋_GB2312" w:hAnsi="宋体" w:eastAsia="仿宋_GB2312" w:cs="仿宋_GB2312"/>
                <w:i w:val="0"/>
                <w:color w:val="auto"/>
                <w:kern w:val="0"/>
                <w:sz w:val="22"/>
                <w:szCs w:val="22"/>
                <w:highlight w:val="none"/>
                <w:u w:val="none"/>
                <w:lang w:val="en-US" w:eastAsia="zh-CN" w:bidi="ar"/>
              </w:rPr>
              <w:t>11</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其他不予受理的情形</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机构是否有国家、省医保部门规定的其他不予受理情形，“是”即为不合格。</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62" w:hRule="atLeast"/>
        </w:trPr>
        <w:tc>
          <w:tcPr>
            <w:tcW w:w="72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指标</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类型</w:t>
            </w: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序号</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评估项目及分值</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评  分  标  准</w:t>
            </w:r>
          </w:p>
        </w:tc>
        <w:tc>
          <w:tcPr>
            <w:tcW w:w="7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自评</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情况</w:t>
            </w:r>
          </w:p>
        </w:tc>
        <w:tc>
          <w:tcPr>
            <w:tcW w:w="705"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评估</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45" w:hRule="atLeast"/>
        </w:trPr>
        <w:tc>
          <w:tcPr>
            <w:tcW w:w="72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b/>
                <w:i w:val="0"/>
                <w:color w:val="auto"/>
                <w:sz w:val="22"/>
                <w:szCs w:val="22"/>
                <w:highlight w:val="none"/>
                <w:u w:val="none"/>
              </w:rPr>
            </w:pPr>
            <w:r>
              <w:rPr>
                <w:rFonts w:hint="eastAsia" w:ascii="仿宋_GB2312" w:hAnsi="宋体" w:eastAsia="仿宋_GB2312" w:cs="仿宋_GB2312"/>
                <w:b/>
                <w:i w:val="0"/>
                <w:color w:val="auto"/>
                <w:kern w:val="0"/>
                <w:sz w:val="22"/>
                <w:szCs w:val="22"/>
                <w:highlight w:val="none"/>
                <w:u w:val="none"/>
                <w:lang w:val="en-US" w:eastAsia="zh-CN" w:bidi="ar"/>
              </w:rPr>
              <w:t>评估指标</w:t>
            </w: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1</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管理制度（14）</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遵守国家有关医疗、养老服务管理和价格管理的法律、法规、标准和规范。严格执行长期护理保险的有关规定，建立财务管理制度、照护人员管理制度、信息系统管理制度、实名制管理制度、政策宣传与培训制度、应急制度、档案管理等制度得14分，制度不健全或执行不到位的缺一项扣2分，此项评分指标对应分值扣完为止。</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225"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2</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档案管理（15分）</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符合档案管理要求，有专人管理、固定存放区域、一人一档的，得3分，缺一项扣1分，未达到要求的不得分。失能人员档案标识清楚、资料齐全的等相关资料的，得5分，缺一项扣1分，此分扣完为止。实行电子化档案管理的，得2分。严格执行档案管理制度，档案资料完备，能根据工作要求及时调阅，达到要求的得5分，未达到要求的不得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20"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3</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财务制度（10分）</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未提供近一年（不足一年的自开办之日算起）财务报表此项不得分。未以单位名称开设基本账户扣2分，所有资金收支未通过本单位的基本账户扣2分。根据会计制度的规定建立相应的会计账目和电算化管理的明细账目，未建立扣4分，制度执行不到位，未做到账账相符、账实相符，发现一例扣1分。未配备财务人员扣2分，配备兼职财务人员扣1分。扣完为止。</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5"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4</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结算管理（10分）</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制定了规范的长期护理保险护理和结算流程，有相关纸质文件存档并上墙的，得5分。承诺通过信息系统改造与医保端进行定期结算，得5分。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65"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5</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人员参保情况（5分）</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按规定为所有从业人员在本单位按时 (自合同之日起)、足额缴纳社会保险，得5分，发现一例未依法参保的，扣5分。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0"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6</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信息系统管理（10分）</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建立包括网络安全管理、终端安全管理、数据安全管理、个人隐私保护、医保系统灾难应急流程制度，未建立制度扣5分，制度不健全或执行不到位的，每一个制度扣1分。配备长护险信息系统联网设施设备，并与其它网络间有安全隔离措施，与互联网物理隔离，未按要求配备，扣2分。严格按照医保局最新政策业务需求和技术规范完成配套改造工作，未按要求改造的，扣2分。未配备专业维护人员扣1分。扣完为止。</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50"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7</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服务价格管理（5分）</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Style w:val="13"/>
                <w:rFonts w:hAnsi="宋体"/>
                <w:color w:val="auto"/>
                <w:highlight w:val="none"/>
                <w:lang w:val="en-US" w:eastAsia="zh-CN" w:bidi="ar"/>
              </w:rPr>
              <w:t>公开护理服务项目收费价格标准，得3分。</w:t>
            </w:r>
            <w:r>
              <w:rPr>
                <w:rStyle w:val="14"/>
                <w:rFonts w:hAnsi="宋体"/>
                <w:color w:val="auto"/>
                <w:highlight w:val="none"/>
                <w:lang w:val="en-US" w:eastAsia="zh-CN" w:bidi="ar"/>
              </w:rPr>
              <w:t>护理服务项目价格在相关部门定价范围内，得2分。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731"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8</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长护险政策宣传（5分）</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设立长期护理保险咨询服务台和意见箱的得1分。公开投诉、举报、监督方式的，得1分。设立宣传栏、电子屏等宣传长护险政策、办理流程的，得3分。未设立或设立未宣传的扣3分，宣传内容不规范的，扣2分。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40"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9</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设置监控设备（10分）</w:t>
            </w:r>
          </w:p>
        </w:tc>
        <w:tc>
          <w:tcPr>
            <w:tcW w:w="10245" w:type="dxa"/>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在公共场所安装监控设备，确保正常使用，角度正确，能清晰辨认出参保人员面部特征，并能提供营业期间不少于三个月不间断的监控影像资料。未安装监控扣10分。安装后使用不正常或不能提供相关影像资料，扣5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75"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vMerge w:val="restart"/>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10</w:t>
            </w:r>
          </w:p>
        </w:tc>
        <w:tc>
          <w:tcPr>
            <w:tcW w:w="141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长期护理保险服务专区（48分）</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仿宋_GB2312" w:eastAsia="仿宋_GB2312" w:cs="仿宋_GB2312"/>
                <w:i w:val="0"/>
                <w:color w:val="auto"/>
                <w:sz w:val="22"/>
                <w:szCs w:val="22"/>
                <w:highlight w:val="none"/>
                <w:u w:val="none"/>
              </w:rPr>
            </w:pPr>
            <w:r>
              <w:rPr>
                <w:rStyle w:val="13"/>
                <w:rFonts w:hAnsi="仿宋_GB2312"/>
                <w:color w:val="auto"/>
                <w:highlight w:val="none"/>
                <w:lang w:val="en-US" w:eastAsia="zh-CN" w:bidi="ar"/>
              </w:rPr>
              <w:t>长期护理专区内部</w:t>
            </w:r>
            <w:r>
              <w:rPr>
                <w:rStyle w:val="13"/>
                <w:rFonts w:hint="eastAsia" w:hAnsi="仿宋_GB2312"/>
                <w:color w:val="auto"/>
                <w:highlight w:val="none"/>
                <w:lang w:val="en-US" w:eastAsia="zh-CN" w:bidi="ar"/>
              </w:rPr>
              <w:t>配置给氧装置或氧气枕、电动吸引器或吸痰装置、气垫床或防治压疮功能的床垫、护理治疗车等必要的护理服务基础设施的得2分，缺一项扣0.5分。心脏除颤仪或心电监护仪、简易呼吸器等急救设备</w:t>
            </w:r>
            <w:r>
              <w:rPr>
                <w:rStyle w:val="12"/>
                <w:rFonts w:hAnsi="仿宋_GB2312"/>
                <w:color w:val="auto"/>
                <w:highlight w:val="none"/>
                <w:lang w:val="en-US" w:eastAsia="zh-CN" w:bidi="ar"/>
              </w:rPr>
              <w:t>的得</w:t>
            </w:r>
            <w:r>
              <w:rPr>
                <w:rStyle w:val="12"/>
                <w:rFonts w:hint="eastAsia" w:hAnsi="仿宋_GB2312"/>
                <w:color w:val="auto"/>
                <w:highlight w:val="none"/>
                <w:lang w:val="en-US" w:eastAsia="zh-CN" w:bidi="ar"/>
              </w:rPr>
              <w:t>1</w:t>
            </w:r>
            <w:r>
              <w:rPr>
                <w:rStyle w:val="12"/>
                <w:rFonts w:hAnsi="仿宋_GB2312"/>
                <w:color w:val="auto"/>
                <w:highlight w:val="none"/>
                <w:lang w:val="en-US" w:eastAsia="zh-CN" w:bidi="ar"/>
              </w:rPr>
              <w:t>分，</w:t>
            </w:r>
            <w:r>
              <w:rPr>
                <w:rStyle w:val="12"/>
                <w:rFonts w:hint="eastAsia" w:hAnsi="仿宋_GB2312"/>
                <w:color w:val="auto"/>
                <w:highlight w:val="none"/>
                <w:lang w:val="en-US" w:eastAsia="zh-CN" w:bidi="ar"/>
              </w:rPr>
              <w:t>缺一项扣0.5分</w:t>
            </w:r>
            <w:r>
              <w:rPr>
                <w:rStyle w:val="12"/>
                <w:rFonts w:hAnsi="仿宋_GB2312"/>
                <w:color w:val="auto"/>
                <w:highlight w:val="none"/>
                <w:lang w:val="en-US" w:eastAsia="zh-CN" w:bidi="ar"/>
              </w:rPr>
              <w:t>。</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color w:val="auto"/>
                <w:sz w:val="22"/>
                <w:szCs w:val="22"/>
                <w:highlight w:val="none"/>
                <w:u w:val="none"/>
                <w:lang w:val="en-US" w:eastAsia="zh-CN"/>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88"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auto"/>
                <w:sz w:val="22"/>
                <w:szCs w:val="22"/>
                <w:highlight w:val="none"/>
                <w:u w:val="none"/>
              </w:rPr>
            </w:pPr>
          </w:p>
        </w:tc>
        <w:tc>
          <w:tcPr>
            <w:tcW w:w="1410"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_GB2312" w:hAnsi="仿宋_GB2312" w:eastAsia="仿宋_GB2312" w:cs="仿宋_GB2312"/>
                <w:i w:val="0"/>
                <w:color w:val="auto"/>
                <w:sz w:val="22"/>
                <w:szCs w:val="22"/>
                <w:highlight w:val="none"/>
                <w:u w:val="none"/>
              </w:rPr>
            </w:pP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配备与长期护理服务相适应的医护人员以及护理服务人员,护理服务专区应按与重度失能人员配比不低于1：3，得7分，护理服务人员与护理床位配比不低于1:3.5，得8分。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color w:val="auto"/>
                <w:sz w:val="22"/>
                <w:szCs w:val="22"/>
                <w:highlight w:val="none"/>
                <w:u w:val="none"/>
                <w:lang w:val="en-US" w:eastAsia="zh-CN"/>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412"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auto"/>
                <w:sz w:val="22"/>
                <w:szCs w:val="22"/>
                <w:highlight w:val="none"/>
                <w:u w:val="none"/>
              </w:rPr>
            </w:pPr>
          </w:p>
        </w:tc>
        <w:tc>
          <w:tcPr>
            <w:tcW w:w="1410"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_GB2312" w:hAnsi="仿宋_GB2312" w:eastAsia="仿宋_GB2312" w:cs="仿宋_GB2312"/>
                <w:i w:val="0"/>
                <w:color w:val="auto"/>
                <w:sz w:val="22"/>
                <w:szCs w:val="22"/>
                <w:highlight w:val="none"/>
                <w:u w:val="none"/>
              </w:rPr>
            </w:pP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仿宋_GB2312" w:eastAsia="仿宋_GB2312" w:cs="仿宋_GB2312"/>
                <w:i w:val="0"/>
                <w:color w:val="auto"/>
                <w:sz w:val="22"/>
                <w:szCs w:val="22"/>
                <w:highlight w:val="none"/>
                <w:u w:val="none"/>
                <w:lang w:val="en-US"/>
              </w:rPr>
            </w:pPr>
            <w:r>
              <w:rPr>
                <w:rStyle w:val="13"/>
                <w:rFonts w:hAnsi="仿宋_GB2312"/>
                <w:color w:val="auto"/>
                <w:highlight w:val="none"/>
                <w:lang w:val="en-US" w:eastAsia="zh-CN" w:bidi="ar"/>
              </w:rPr>
              <w:t>长期护理保险专区环境安全、干净、通风良好、安静的，得1分。室内床位平均可使用面积不低于5</w:t>
            </w:r>
            <w:r>
              <w:rPr>
                <w:rStyle w:val="15"/>
                <w:rFonts w:ascii="仿宋_GB2312" w:hAnsi="仿宋_GB2312" w:eastAsia="仿宋_GB2312" w:cs="仿宋_GB2312"/>
                <w:color w:val="auto"/>
                <w:highlight w:val="none"/>
                <w:lang w:val="en-US" w:eastAsia="zh-CN" w:bidi="ar"/>
              </w:rPr>
              <w:t>㎡</w:t>
            </w:r>
            <w:r>
              <w:rPr>
                <w:rStyle w:val="13"/>
                <w:rFonts w:hAnsi="仿宋_GB2312"/>
                <w:color w:val="auto"/>
                <w:highlight w:val="none"/>
                <w:lang w:val="en-US" w:eastAsia="zh-CN" w:bidi="ar"/>
              </w:rPr>
              <w:t>，得1分。每间室内不超过4张床，得1分。每床间距不少于1米，得1分。多人间有隐私保护设施的，得1分。方便使用手杖、助行器或轮椅等的，得1分。每个卧室设置适老化卫生间，卫生间门的开启净宽≥0.80m，得1分。如厕区的必要位置设有扶手，扶手形式、位置合理，能够正常使用，洗浴空间地面铺装平整、防滑，无积水，得</w:t>
            </w:r>
            <w:r>
              <w:rPr>
                <w:rStyle w:val="13"/>
                <w:rFonts w:hint="eastAsia" w:hAnsi="仿宋_GB2312"/>
                <w:color w:val="auto"/>
                <w:highlight w:val="none"/>
                <w:lang w:val="en-US" w:eastAsia="zh-CN" w:bidi="ar"/>
              </w:rPr>
              <w:t>3</w:t>
            </w:r>
            <w:r>
              <w:rPr>
                <w:rStyle w:val="13"/>
                <w:rFonts w:hAnsi="仿宋_GB2312"/>
                <w:color w:val="auto"/>
                <w:highlight w:val="none"/>
                <w:lang w:val="en-US" w:eastAsia="zh-CN" w:bidi="ar"/>
              </w:rPr>
              <w:t>分。</w:t>
            </w:r>
            <w:r>
              <w:rPr>
                <w:rStyle w:val="13"/>
                <w:rFonts w:hint="eastAsia" w:hAnsi="仿宋_GB2312"/>
                <w:color w:val="auto"/>
                <w:highlight w:val="none"/>
                <w:lang w:val="en-US" w:eastAsia="zh-CN" w:bidi="ar"/>
              </w:rPr>
              <w:t>卫生间</w:t>
            </w:r>
            <w:r>
              <w:rPr>
                <w:rStyle w:val="13"/>
                <w:rFonts w:hAnsi="仿宋_GB2312"/>
                <w:color w:val="auto"/>
                <w:highlight w:val="none"/>
                <w:lang w:val="en-US" w:eastAsia="zh-CN" w:bidi="ar"/>
              </w:rPr>
              <w:t>设有紧急呼叫装置</w:t>
            </w:r>
            <w:r>
              <w:rPr>
                <w:rStyle w:val="13"/>
                <w:rFonts w:hint="eastAsia" w:hAnsi="仿宋_GB2312"/>
                <w:color w:val="auto"/>
                <w:highlight w:val="none"/>
                <w:lang w:val="en-US" w:eastAsia="zh-CN" w:bidi="ar"/>
              </w:rPr>
              <w:t>或</w:t>
            </w:r>
            <w:r>
              <w:rPr>
                <w:rStyle w:val="13"/>
                <w:rFonts w:hAnsi="仿宋_GB2312"/>
                <w:color w:val="auto"/>
                <w:highlight w:val="none"/>
                <w:lang w:val="en-US" w:eastAsia="zh-CN" w:bidi="ar"/>
              </w:rPr>
              <w:t>为老年人配备可穿戴紧急呼叫装置，得</w:t>
            </w:r>
            <w:r>
              <w:rPr>
                <w:rStyle w:val="13"/>
                <w:rFonts w:hint="eastAsia" w:hAnsi="仿宋_GB2312"/>
                <w:color w:val="auto"/>
                <w:highlight w:val="none"/>
                <w:lang w:val="en-US" w:eastAsia="zh-CN" w:bidi="ar"/>
              </w:rPr>
              <w:t>3</w:t>
            </w:r>
            <w:r>
              <w:rPr>
                <w:rStyle w:val="13"/>
                <w:rFonts w:hAnsi="仿宋_GB2312"/>
                <w:color w:val="auto"/>
                <w:highlight w:val="none"/>
                <w:lang w:val="en-US" w:eastAsia="zh-CN" w:bidi="ar"/>
              </w:rPr>
              <w:t>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color w:val="auto"/>
                <w:sz w:val="22"/>
                <w:szCs w:val="22"/>
                <w:highlight w:val="none"/>
                <w:u w:val="none"/>
                <w:lang w:val="en-US" w:eastAsia="zh-CN"/>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85"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auto"/>
                <w:sz w:val="22"/>
                <w:szCs w:val="22"/>
                <w:highlight w:val="none"/>
                <w:u w:val="none"/>
              </w:rPr>
            </w:pPr>
          </w:p>
        </w:tc>
        <w:tc>
          <w:tcPr>
            <w:tcW w:w="1410"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_GB2312" w:hAnsi="仿宋_GB2312" w:eastAsia="仿宋_GB2312" w:cs="仿宋_GB2312"/>
                <w:i w:val="0"/>
                <w:color w:val="auto"/>
                <w:sz w:val="22"/>
                <w:szCs w:val="22"/>
                <w:highlight w:val="none"/>
                <w:u w:val="none"/>
              </w:rPr>
            </w:pP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在原来制定标准长期护理床位的基础上，每增加10张长期护理床得0.2分，最高不超过2分。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color w:val="auto"/>
                <w:sz w:val="22"/>
                <w:szCs w:val="22"/>
                <w:highlight w:val="none"/>
                <w:u w:val="none"/>
                <w:lang w:val="en-US" w:eastAsia="zh-CN"/>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60"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color w:val="auto"/>
                <w:sz w:val="22"/>
                <w:szCs w:val="22"/>
                <w:highlight w:val="none"/>
                <w:u w:val="none"/>
              </w:rPr>
            </w:pPr>
          </w:p>
        </w:tc>
        <w:tc>
          <w:tcPr>
            <w:tcW w:w="1410"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rPr>
                <w:rFonts w:hint="eastAsia" w:ascii="仿宋_GB2312" w:hAnsi="仿宋_GB2312" w:eastAsia="仿宋_GB2312" w:cs="仿宋_GB2312"/>
                <w:i w:val="0"/>
                <w:color w:val="auto"/>
                <w:sz w:val="22"/>
                <w:szCs w:val="22"/>
                <w:highlight w:val="none"/>
                <w:u w:val="none"/>
              </w:rPr>
            </w:pP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仿宋_GB2312" w:eastAsia="仿宋_GB2312" w:cs="仿宋_GB2312"/>
                <w:i w:val="0"/>
                <w:color w:val="auto"/>
                <w:sz w:val="22"/>
                <w:szCs w:val="22"/>
                <w:highlight w:val="none"/>
                <w:u w:val="none"/>
                <w:lang w:val="en-US"/>
              </w:rPr>
            </w:pPr>
            <w:r>
              <w:rPr>
                <w:rFonts w:hint="eastAsia" w:ascii="仿宋_GB2312" w:hAnsi="仿宋_GB2312" w:eastAsia="仿宋_GB2312" w:cs="仿宋_GB2312"/>
                <w:i w:val="0"/>
                <w:color w:val="auto"/>
                <w:kern w:val="0"/>
                <w:sz w:val="22"/>
                <w:szCs w:val="22"/>
                <w:highlight w:val="none"/>
                <w:u w:val="none"/>
                <w:lang w:val="en-US" w:eastAsia="zh-CN" w:bidi="ar"/>
              </w:rPr>
              <w:t>长期护理床，每张床均有标识，具备辅助起坐功能，每张得0.3分，最高得3分。具备辅助翻身的功能或床旁放置翻身辅助用具的，每张得0.2分，最高得2分。具备移动功能，每张得0.2分，最高得2分。每有一张床具备防止坠床功能，得0.4分，最高得4分。每有一张床安装紧急呼叫装置，得0.4分，最高得4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default" w:ascii="仿宋_GB2312" w:hAnsi="宋体" w:eastAsia="仿宋_GB2312" w:cs="仿宋_GB2312"/>
                <w:i w:val="0"/>
                <w:color w:val="auto"/>
                <w:sz w:val="22"/>
                <w:szCs w:val="22"/>
                <w:highlight w:val="none"/>
                <w:u w:val="none"/>
                <w:lang w:val="en-US" w:eastAsia="zh-CN"/>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720" w:type="dxa"/>
            <w:vMerge w:val="continue"/>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50" w:type="dxa"/>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11</w:t>
            </w:r>
          </w:p>
        </w:tc>
        <w:tc>
          <w:tcPr>
            <w:tcW w:w="141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eastAsia" w:ascii="仿宋_GB2312" w:hAnsi="仿宋_GB2312" w:eastAsia="仿宋_GB2312" w:cs="仿宋_GB2312"/>
                <w:i w:val="0"/>
                <w:color w:val="auto"/>
                <w:sz w:val="22"/>
                <w:szCs w:val="22"/>
                <w:highlight w:val="none"/>
                <w:u w:val="none"/>
              </w:rPr>
            </w:pPr>
            <w:r>
              <w:rPr>
                <w:rFonts w:hint="eastAsia" w:ascii="仿宋_GB2312" w:hAnsi="仿宋_GB2312" w:eastAsia="仿宋_GB2312" w:cs="仿宋_GB2312"/>
                <w:i w:val="0"/>
                <w:color w:val="auto"/>
                <w:kern w:val="0"/>
                <w:sz w:val="22"/>
                <w:szCs w:val="22"/>
                <w:highlight w:val="none"/>
                <w:u w:val="none"/>
                <w:lang w:val="en-US" w:eastAsia="zh-CN" w:bidi="ar"/>
              </w:rPr>
              <w:t>服务场所设施配备（18分）</w:t>
            </w:r>
          </w:p>
        </w:tc>
        <w:tc>
          <w:tcPr>
            <w:tcW w:w="1024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center"/>
              <w:rPr>
                <w:rFonts w:hint="eastAsia" w:ascii="仿宋_GB2312" w:hAnsi="仿宋_GB2312" w:eastAsia="仿宋_GB2312" w:cs="仿宋_GB2312"/>
                <w:i w:val="0"/>
                <w:color w:val="auto"/>
                <w:sz w:val="22"/>
                <w:szCs w:val="22"/>
                <w:highlight w:val="none"/>
                <w:u w:val="none"/>
              </w:rPr>
            </w:pPr>
            <w:r>
              <w:rPr>
                <w:rStyle w:val="12"/>
                <w:rFonts w:hAnsi="仿宋_GB2312"/>
                <w:color w:val="auto"/>
                <w:highlight w:val="none"/>
                <w:lang w:val="en-US" w:eastAsia="zh-CN" w:bidi="ar"/>
              </w:rPr>
              <w:t>1.室外活动场所不小于</w:t>
            </w:r>
            <w:r>
              <w:rPr>
                <w:rStyle w:val="12"/>
                <w:rFonts w:hint="eastAsia" w:hAnsi="仿宋_GB2312"/>
                <w:color w:val="auto"/>
                <w:highlight w:val="none"/>
                <w:lang w:val="en-US" w:eastAsia="zh-CN" w:bidi="ar"/>
              </w:rPr>
              <w:t>30</w:t>
            </w:r>
            <w:r>
              <w:rPr>
                <w:rStyle w:val="12"/>
                <w:rFonts w:hAnsi="仿宋_GB2312"/>
                <w:color w:val="auto"/>
                <w:highlight w:val="none"/>
                <w:lang w:val="en-US" w:eastAsia="zh-CN" w:bidi="ar"/>
              </w:rPr>
              <w:t>平方米，</w:t>
            </w:r>
            <w:r>
              <w:rPr>
                <w:rStyle w:val="13"/>
                <w:rFonts w:hAnsi="仿宋_GB2312"/>
                <w:color w:val="auto"/>
                <w:highlight w:val="none"/>
                <w:lang w:val="en-US" w:eastAsia="zh-CN" w:bidi="ar"/>
              </w:rPr>
              <w:t>得</w:t>
            </w:r>
            <w:r>
              <w:rPr>
                <w:rStyle w:val="13"/>
                <w:rFonts w:hint="eastAsia" w:hAnsi="仿宋_GB2312"/>
                <w:color w:val="auto"/>
                <w:highlight w:val="none"/>
                <w:lang w:val="en-US" w:eastAsia="zh-CN" w:bidi="ar"/>
              </w:rPr>
              <w:t>2</w:t>
            </w:r>
            <w:r>
              <w:rPr>
                <w:rStyle w:val="13"/>
                <w:rFonts w:hAnsi="仿宋_GB2312"/>
                <w:color w:val="auto"/>
                <w:highlight w:val="none"/>
                <w:lang w:val="en-US" w:eastAsia="zh-CN" w:bidi="ar"/>
              </w:rPr>
              <w:t>分。</w:t>
            </w:r>
            <w:r>
              <w:rPr>
                <w:rStyle w:val="12"/>
                <w:rFonts w:hAnsi="仿宋_GB2312"/>
                <w:color w:val="auto"/>
                <w:highlight w:val="none"/>
                <w:lang w:val="en-US" w:eastAsia="zh-CN" w:bidi="ar"/>
              </w:rPr>
              <w:t>室外活动场所面积每增加30%，</w:t>
            </w:r>
            <w:r>
              <w:rPr>
                <w:rStyle w:val="13"/>
                <w:rFonts w:hAnsi="仿宋_GB2312"/>
                <w:color w:val="auto"/>
                <w:highlight w:val="none"/>
                <w:lang w:val="en-US" w:eastAsia="zh-CN" w:bidi="ar"/>
              </w:rPr>
              <w:t>加1分，最多加4分。2.设置合理的餐厅、浴室、康复室、活动场所等功能区域</w:t>
            </w:r>
            <w:r>
              <w:rPr>
                <w:rStyle w:val="13"/>
                <w:rFonts w:hint="eastAsia" w:hAnsi="仿宋_GB2312"/>
                <w:color w:val="auto"/>
                <w:highlight w:val="none"/>
                <w:lang w:val="en-US" w:eastAsia="zh-CN" w:bidi="ar"/>
              </w:rPr>
              <w:t>各得1分</w:t>
            </w:r>
            <w:r>
              <w:rPr>
                <w:rStyle w:val="13"/>
                <w:rFonts w:hAnsi="仿宋_GB2312"/>
                <w:color w:val="auto"/>
                <w:highlight w:val="none"/>
                <w:lang w:val="en-US" w:eastAsia="zh-CN" w:bidi="ar"/>
              </w:rPr>
              <w:t>，</w:t>
            </w:r>
            <w:r>
              <w:rPr>
                <w:rStyle w:val="13"/>
                <w:rFonts w:hint="eastAsia" w:hAnsi="仿宋_GB2312"/>
                <w:color w:val="auto"/>
                <w:highlight w:val="none"/>
                <w:lang w:val="en-US" w:eastAsia="zh-CN" w:bidi="ar"/>
              </w:rPr>
              <w:t>整体</w:t>
            </w:r>
            <w:r>
              <w:rPr>
                <w:rStyle w:val="13"/>
                <w:rFonts w:hAnsi="仿宋_GB2312"/>
                <w:color w:val="auto"/>
                <w:highlight w:val="none"/>
                <w:lang w:val="en-US" w:eastAsia="zh-CN" w:bidi="ar"/>
              </w:rPr>
              <w:t>环境整洁，得</w:t>
            </w:r>
            <w:r>
              <w:rPr>
                <w:rStyle w:val="13"/>
                <w:rFonts w:hint="eastAsia" w:hAnsi="仿宋_GB2312"/>
                <w:color w:val="auto"/>
                <w:highlight w:val="none"/>
                <w:lang w:val="en-US" w:eastAsia="zh-CN" w:bidi="ar"/>
              </w:rPr>
              <w:t>1</w:t>
            </w:r>
            <w:r>
              <w:rPr>
                <w:rStyle w:val="13"/>
                <w:rFonts w:hAnsi="仿宋_GB2312"/>
                <w:color w:val="auto"/>
                <w:highlight w:val="none"/>
                <w:lang w:val="en-US" w:eastAsia="zh-CN" w:bidi="ar"/>
              </w:rPr>
              <w:t>分。3.满足无障碍设计要求。出入大门口设置无障碍坡道，出入经由的过厅、走道、房间及其他需要达到的区域不设门坎，地面平整不宜有高差，楼梯与坡道两侧设有符合标准的栏杆与扶手，各得1分，最高得4分（二层及以上建筑无电梯此项不得分）。4.标示标牌清晰，得1分；5.工作人员着装规范，得2分。</w:t>
            </w:r>
          </w:p>
        </w:tc>
        <w:tc>
          <w:tcPr>
            <w:tcW w:w="750"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05" w:type="dxa"/>
            <w:tcBorders>
              <w:tl2br w:val="nil"/>
              <w:tr2bl w:val="nil"/>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91" w:hRule="atLeast"/>
        </w:trPr>
        <w:tc>
          <w:tcPr>
            <w:tcW w:w="14280" w:type="dxa"/>
            <w:gridSpan w:val="6"/>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b/>
                <w:i w:val="0"/>
                <w:color w:val="auto"/>
                <w:sz w:val="22"/>
                <w:szCs w:val="22"/>
                <w:highlight w:val="none"/>
                <w:u w:val="none"/>
              </w:rPr>
            </w:pPr>
            <w:r>
              <w:rPr>
                <w:rFonts w:hint="eastAsia" w:ascii="仿宋_GB2312" w:hAnsi="宋体" w:eastAsia="仿宋_GB2312" w:cs="仿宋_GB2312"/>
                <w:b/>
                <w:i w:val="0"/>
                <w:color w:val="auto"/>
                <w:kern w:val="0"/>
                <w:sz w:val="22"/>
                <w:szCs w:val="22"/>
                <w:highlight w:val="none"/>
                <w:u w:val="none"/>
                <w:lang w:val="en-US" w:eastAsia="zh-CN" w:bidi="ar"/>
              </w:rPr>
              <w:t>评估指标合计得分：150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345" w:hRule="atLeast"/>
        </w:trPr>
        <w:tc>
          <w:tcPr>
            <w:tcW w:w="12825" w:type="dxa"/>
            <w:gridSpan w:val="4"/>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Arial" w:hAnsi="Arial" w:eastAsia="宋体" w:cs="Arial"/>
                <w:i w:val="0"/>
                <w:color w:val="auto"/>
                <w:sz w:val="22"/>
                <w:szCs w:val="22"/>
                <w:highlight w:val="none"/>
                <w:u w:val="none"/>
              </w:rPr>
            </w:pPr>
            <w:r>
              <w:rPr>
                <w:rStyle w:val="16"/>
                <w:color w:val="auto"/>
                <w:highlight w:val="none"/>
                <w:lang w:val="en-US" w:eastAsia="zh-CN" w:bidi="ar"/>
              </w:rPr>
              <w:t>评估指标合计得分：</w:t>
            </w:r>
          </w:p>
        </w:tc>
        <w:tc>
          <w:tcPr>
            <w:tcW w:w="750" w:type="dxa"/>
            <w:tcBorders>
              <w:tl2br w:val="nil"/>
              <w:tr2bl w:val="nil"/>
            </w:tcBorders>
            <w:shd w:val="clear" w:color="auto" w:fill="auto"/>
            <w:vAlign w:val="top"/>
          </w:tcPr>
          <w:p>
            <w:pPr>
              <w:keepNext w:val="0"/>
              <w:keepLines w:val="0"/>
              <w:suppressLineNumbers w:val="0"/>
              <w:spacing w:before="0" w:beforeAutospacing="0" w:after="0" w:afterAutospacing="0"/>
              <w:ind w:left="0" w:right="0"/>
              <w:jc w:val="left"/>
              <w:rPr>
                <w:rFonts w:hint="default" w:ascii="Arial" w:hAnsi="Arial" w:eastAsia="宋体" w:cs="Arial"/>
                <w:i w:val="0"/>
                <w:color w:val="auto"/>
                <w:sz w:val="22"/>
                <w:szCs w:val="22"/>
                <w:highlight w:val="none"/>
                <w:u w:val="none"/>
              </w:rPr>
            </w:pPr>
          </w:p>
        </w:tc>
        <w:tc>
          <w:tcPr>
            <w:tcW w:w="705" w:type="dxa"/>
            <w:tcBorders>
              <w:tl2br w:val="nil"/>
              <w:tr2bl w:val="nil"/>
            </w:tcBorders>
            <w:shd w:val="clear" w:color="auto" w:fill="auto"/>
            <w:vAlign w:val="top"/>
          </w:tcPr>
          <w:p>
            <w:pPr>
              <w:keepNext w:val="0"/>
              <w:keepLines w:val="0"/>
              <w:suppressLineNumbers w:val="0"/>
              <w:spacing w:before="0" w:beforeAutospacing="0" w:after="0" w:afterAutospacing="0"/>
              <w:ind w:left="0" w:right="0"/>
              <w:jc w:val="left"/>
              <w:rPr>
                <w:rFonts w:hint="default" w:ascii="Arial" w:hAnsi="Arial" w:eastAsia="宋体" w:cs="Arial"/>
                <w:i w:val="0"/>
                <w:color w:val="auto"/>
                <w:sz w:val="22"/>
                <w:szCs w:val="22"/>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trPr>
        <w:tc>
          <w:tcPr>
            <w:tcW w:w="14280" w:type="dxa"/>
            <w:gridSpan w:val="6"/>
            <w:tcBorders>
              <w:tl2br w:val="nil"/>
              <w:tr2bl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楷体" w:hAnsi="楷体" w:eastAsia="楷体" w:cs="楷体"/>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bidi="ar"/>
              </w:rPr>
              <w:t>备注：基础指标有一项不合格，评估结果即为不合格；评估指标合计得分120分以下，评估结果即为不合格。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0" w:hRule="atLeast"/>
        </w:trPr>
        <w:tc>
          <w:tcPr>
            <w:tcW w:w="14280" w:type="dxa"/>
            <w:gridSpan w:val="6"/>
            <w:tcBorders>
              <w:tl2br w:val="nil"/>
              <w:tr2bl w:val="nil"/>
            </w:tcBorders>
            <w:shd w:val="clear" w:color="auto" w:fill="auto"/>
            <w:vAlign w:val="bottom"/>
          </w:tcPr>
          <w:p>
            <w:pPr>
              <w:keepNext w:val="0"/>
              <w:keepLines w:val="0"/>
              <w:widowControl/>
              <w:suppressLineNumbers w:val="0"/>
              <w:spacing w:before="0" w:beforeAutospacing="0" w:after="0" w:afterAutospacing="0"/>
              <w:ind w:left="0" w:right="0"/>
              <w:jc w:val="both"/>
              <w:textAlignment w:val="bottom"/>
              <w:rPr>
                <w:rFonts w:hint="default" w:ascii="Arial" w:hAnsi="Arial" w:eastAsia="宋体" w:cs="Arial"/>
                <w:i w:val="0"/>
                <w:color w:val="auto"/>
                <w:sz w:val="22"/>
                <w:szCs w:val="22"/>
                <w:highlight w:val="none"/>
                <w:u w:val="none"/>
              </w:rPr>
            </w:pPr>
            <w:r>
              <w:rPr>
                <w:rStyle w:val="17"/>
                <w:color w:val="auto"/>
                <w:highlight w:val="none"/>
                <w:lang w:val="en-US" w:eastAsia="zh-CN" w:bidi="ar"/>
              </w:rPr>
              <w:t>申请单位法人 (签章)：</w:t>
            </w:r>
            <w:r>
              <w:rPr>
                <w:rStyle w:val="17"/>
                <w:rFonts w:hint="eastAsia"/>
                <w:color w:val="auto"/>
                <w:highlight w:val="none"/>
                <w:lang w:val="en-US" w:eastAsia="zh-CN" w:bidi="ar"/>
              </w:rPr>
              <w:t xml:space="preserve">                                       </w:t>
            </w:r>
            <w:r>
              <w:rPr>
                <w:rStyle w:val="17"/>
                <w:color w:val="auto"/>
                <w:highlight w:val="none"/>
                <w:lang w:val="en-US" w:eastAsia="zh-CN" w:bidi="ar"/>
              </w:rPr>
              <w:t>现场核查人员签名：</w:t>
            </w:r>
          </w:p>
        </w:tc>
      </w:tr>
    </w:tbl>
    <w:p>
      <w:pPr>
        <w:pStyle w:val="7"/>
        <w:widowControl w:val="0"/>
        <w:spacing w:line="560" w:lineRule="exact"/>
        <w:ind w:left="2476" w:leftChars="760" w:hanging="880" w:hangingChars="200"/>
        <w:jc w:val="both"/>
        <w:textAlignment w:val="auto"/>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br w:type="page"/>
      </w:r>
    </w:p>
    <w:tbl>
      <w:tblPr>
        <w:tblStyle w:val="8"/>
        <w:tblW w:w="14280" w:type="dxa"/>
        <w:tblInd w:w="-5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0"/>
        <w:gridCol w:w="495"/>
        <w:gridCol w:w="1402"/>
        <w:gridCol w:w="10223"/>
        <w:gridCol w:w="705"/>
        <w:gridCol w:w="7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0" w:hRule="atLeast"/>
        </w:trPr>
        <w:tc>
          <w:tcPr>
            <w:tcW w:w="1428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7"/>
              <w:keepNext w:val="0"/>
              <w:keepLines w:val="0"/>
              <w:widowControl w:val="0"/>
              <w:numPr>
                <w:ilvl w:val="0"/>
                <w:numId w:val="0"/>
              </w:numPr>
              <w:suppressLineNumbers w:val="0"/>
              <w:spacing w:before="0" w:beforeAutospacing="0" w:after="0" w:afterAutospacing="0" w:line="560" w:lineRule="exact"/>
              <w:ind w:left="2476" w:leftChars="760" w:right="0" w:hanging="880" w:hangingChars="200"/>
              <w:jc w:val="both"/>
              <w:textAlignment w:val="auto"/>
              <w:rPr>
                <w:rFonts w:hint="default" w:ascii="方正小标宋简体" w:hAnsi="方正小标宋简体" w:eastAsia="方正小标宋简体" w:cs="方正小标宋简体"/>
                <w:i w:val="0"/>
                <w:color w:val="auto"/>
                <w:sz w:val="48"/>
                <w:szCs w:val="48"/>
                <w:highlight w:val="none"/>
                <w:u w:val="none"/>
              </w:rPr>
            </w:pPr>
            <w:r>
              <w:rPr>
                <w:rFonts w:hint="eastAsia" w:ascii="方正小标宋简体" w:hAnsi="方正小标宋简体" w:eastAsia="方正小标宋简体" w:cs="方正小标宋简体"/>
                <w:color w:val="auto"/>
                <w:sz w:val="44"/>
                <w:szCs w:val="44"/>
                <w:highlight w:val="none"/>
                <w:lang w:val="en-US" w:eastAsia="zh-CN"/>
              </w:rPr>
              <w:t>温州市长期护理保险居家上门类定点护理机构评估表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指标</w:t>
            </w:r>
          </w:p>
          <w:p>
            <w:pPr>
              <w:keepNext w:val="0"/>
              <w:keepLines w:val="0"/>
              <w:widowControl/>
              <w:suppressLineNumbers w:val="0"/>
              <w:spacing w:before="0" w:beforeAutospacing="0" w:after="0" w:afterAutospacing="0"/>
              <w:ind w:left="0" w:right="0"/>
              <w:jc w:val="center"/>
              <w:textAlignment w:val="center"/>
              <w:rPr>
                <w:rFonts w:hint="default"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类型</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序号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评估项目及分值</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评  分  标  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自评</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kern w:val="0"/>
                <w:sz w:val="24"/>
                <w:szCs w:val="24"/>
                <w:highlight w:val="none"/>
                <w:u w:val="none"/>
                <w:lang w:val="en-US" w:eastAsia="zh-CN" w:bidi="ar"/>
              </w:rPr>
            </w:pPr>
            <w:r>
              <w:rPr>
                <w:rFonts w:hint="eastAsia" w:ascii="黑体" w:hAnsi="宋体" w:eastAsia="黑体" w:cs="黑体"/>
                <w:i w:val="0"/>
                <w:color w:val="auto"/>
                <w:kern w:val="0"/>
                <w:sz w:val="24"/>
                <w:szCs w:val="24"/>
                <w:highlight w:val="none"/>
                <w:u w:val="none"/>
                <w:lang w:val="en-US" w:eastAsia="zh-CN" w:bidi="ar"/>
              </w:rPr>
              <w:t>评估</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Fonts w:hint="eastAsia" w:ascii="黑体" w:hAnsi="宋体" w:eastAsia="黑体" w:cs="黑体"/>
                <w:i w:val="0"/>
                <w:color w:val="auto"/>
                <w:kern w:val="0"/>
                <w:sz w:val="24"/>
                <w:szCs w:val="24"/>
                <w:highlight w:val="none"/>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b/>
                <w:i w:val="0"/>
                <w:color w:val="auto"/>
                <w:sz w:val="22"/>
                <w:szCs w:val="22"/>
                <w:highlight w:val="none"/>
                <w:u w:val="none"/>
              </w:rPr>
            </w:pPr>
            <w:r>
              <w:rPr>
                <w:rFonts w:hint="eastAsia" w:ascii="仿宋_GB2312" w:hAnsi="宋体" w:eastAsia="仿宋_GB2312" w:cs="仿宋_GB2312"/>
                <w:b/>
                <w:i w:val="0"/>
                <w:color w:val="auto"/>
                <w:kern w:val="0"/>
                <w:sz w:val="22"/>
                <w:szCs w:val="22"/>
                <w:highlight w:val="none"/>
                <w:u w:val="none"/>
                <w:lang w:val="en-US" w:eastAsia="zh-CN" w:bidi="ar"/>
              </w:rPr>
              <w:t>基础指标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1</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经营时间</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正式运营是否已达 3 个月，“否”即为不合格。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2</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服务场所</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color w:val="auto"/>
                <w:kern w:val="0"/>
                <w:sz w:val="22"/>
                <w:highlight w:val="none"/>
                <w:lang w:val="en-US" w:eastAsia="zh-CN" w:bidi="ar"/>
              </w:rPr>
              <w:t>业务用房有效使用期限自提出定点申请之日是否已达到</w:t>
            </w:r>
            <w:r>
              <w:rPr>
                <w:rFonts w:hint="eastAsia" w:ascii="仿宋_GB2312" w:hAnsi="仿宋_GB2312" w:eastAsia="仿宋_GB2312" w:cs="仿宋_GB2312"/>
                <w:i w:val="0"/>
                <w:color w:val="auto"/>
                <w:kern w:val="0"/>
                <w:sz w:val="22"/>
                <w:szCs w:val="22"/>
                <w:highlight w:val="none"/>
                <w:u w:val="none"/>
                <w:lang w:val="en-US" w:eastAsia="zh-CN" w:bidi="ar"/>
              </w:rPr>
              <w:t>3年</w:t>
            </w:r>
            <w:r>
              <w:rPr>
                <w:rFonts w:hint="eastAsia" w:ascii="仿宋_GB2312" w:hAnsi="仿宋_GB2312" w:eastAsia="仿宋_GB2312" w:cs="仿宋_GB2312"/>
                <w:color w:val="auto"/>
                <w:kern w:val="0"/>
                <w:sz w:val="22"/>
                <w:highlight w:val="none"/>
                <w:lang w:val="en-US" w:eastAsia="zh-CN" w:bidi="ar"/>
              </w:rPr>
              <w:t>。“否”即为不合格。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6"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3</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经营资质</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line="240" w:lineRule="auto"/>
              <w:ind w:left="0" w:right="0"/>
              <w:jc w:val="left"/>
              <w:textAlignment w:val="center"/>
              <w:rPr>
                <w:rFonts w:hint="eastAsia" w:ascii="仿宋_GB2312" w:hAnsi="仿宋_GB2312" w:eastAsia="仿宋_GB2312" w:cs="仿宋_GB2312"/>
                <w:color w:val="auto"/>
                <w:kern w:val="0"/>
                <w:sz w:val="22"/>
                <w:highlight w:val="none"/>
                <w:lang w:val="en-US" w:eastAsia="zh-CN" w:bidi="ar"/>
              </w:rPr>
            </w:pPr>
            <w:r>
              <w:rPr>
                <w:rFonts w:hint="eastAsia" w:ascii="仿宋_GB2312" w:hAnsi="仿宋_GB2312" w:eastAsia="仿宋_GB2312" w:cs="仿宋_GB2312"/>
                <w:color w:val="auto"/>
                <w:kern w:val="0"/>
                <w:sz w:val="22"/>
                <w:szCs w:val="22"/>
                <w:highlight w:val="none"/>
                <w:u w:val="none"/>
                <w:vertAlign w:val="baseline"/>
                <w:lang w:val="en-US" w:eastAsia="zh-CN" w:bidi="ar"/>
              </w:rPr>
              <w:t>医疗</w:t>
            </w:r>
            <w:r>
              <w:rPr>
                <w:rFonts w:hint="eastAsia" w:ascii="仿宋_GB2312" w:hAnsi="仿宋_GB2312" w:eastAsia="仿宋_GB2312" w:cs="仿宋_GB2312"/>
                <w:color w:val="auto"/>
                <w:kern w:val="0"/>
                <w:sz w:val="22"/>
                <w:szCs w:val="22"/>
                <w:highlight w:val="none"/>
                <w:u w:val="none"/>
                <w:vertAlign w:val="baseline"/>
                <w:lang w:bidi="ar"/>
              </w:rPr>
              <w:t>机构</w:t>
            </w:r>
            <w:r>
              <w:rPr>
                <w:rFonts w:hint="eastAsia" w:ascii="仿宋_GB2312" w:hAnsi="仿宋_GB2312" w:eastAsia="仿宋_GB2312" w:cs="仿宋_GB2312"/>
                <w:color w:val="auto"/>
                <w:kern w:val="0"/>
                <w:sz w:val="22"/>
                <w:szCs w:val="22"/>
                <w:highlight w:val="none"/>
                <w:lang w:val="en-US" w:eastAsia="zh-CN" w:bidi="ar"/>
              </w:rPr>
              <w:t>是否依法</w:t>
            </w:r>
            <w:r>
              <w:rPr>
                <w:rFonts w:hint="eastAsia" w:ascii="仿宋_GB2312" w:hAnsi="仿宋_GB2312" w:eastAsia="仿宋_GB2312" w:cs="仿宋_GB2312"/>
                <w:color w:val="auto"/>
                <w:kern w:val="0"/>
                <w:sz w:val="22"/>
                <w:szCs w:val="22"/>
                <w:highlight w:val="none"/>
                <w:u w:val="none"/>
                <w:vertAlign w:val="baseline"/>
                <w:lang w:bidi="ar"/>
              </w:rPr>
              <w:t>取得《医疗机构执业许可证》</w:t>
            </w:r>
            <w:r>
              <w:rPr>
                <w:rFonts w:hint="eastAsia" w:ascii="仿宋_GB2312" w:hAnsi="仿宋_GB2312" w:eastAsia="仿宋_GB2312" w:cs="仿宋_GB2312"/>
                <w:color w:val="auto"/>
                <w:kern w:val="0"/>
                <w:sz w:val="22"/>
                <w:szCs w:val="22"/>
                <w:highlight w:val="none"/>
                <w:u w:val="none"/>
                <w:vertAlign w:val="baseline"/>
                <w:lang w:val="en-US" w:eastAsia="zh-CN" w:bidi="ar"/>
              </w:rPr>
              <w:t>并</w:t>
            </w:r>
            <w:r>
              <w:rPr>
                <w:rFonts w:hint="eastAsia" w:ascii="仿宋_GB2312" w:hAnsi="仿宋_GB2312" w:eastAsia="仿宋_GB2312" w:cs="仿宋_GB2312"/>
                <w:color w:val="auto"/>
                <w:kern w:val="0"/>
                <w:sz w:val="22"/>
                <w:szCs w:val="22"/>
                <w:highlight w:val="none"/>
                <w:lang w:bidi="ar"/>
              </w:rPr>
              <w:t>符合国家</w:t>
            </w:r>
            <w:r>
              <w:rPr>
                <w:rFonts w:hint="eastAsia" w:ascii="仿宋_GB2312" w:hAnsi="仿宋_GB2312" w:eastAsia="仿宋_GB2312" w:cs="仿宋_GB2312"/>
                <w:color w:val="auto"/>
                <w:kern w:val="0"/>
                <w:sz w:val="22"/>
                <w:szCs w:val="22"/>
                <w:highlight w:val="none"/>
                <w:lang w:val="en-US" w:eastAsia="zh-CN" w:bidi="ar"/>
              </w:rPr>
              <w:t>卫生健康主管部门</w:t>
            </w:r>
            <w:r>
              <w:rPr>
                <w:rFonts w:hint="eastAsia" w:ascii="仿宋_GB2312" w:hAnsi="仿宋_GB2312" w:eastAsia="仿宋_GB2312" w:cs="仿宋_GB2312"/>
                <w:color w:val="auto"/>
                <w:kern w:val="0"/>
                <w:sz w:val="22"/>
                <w:szCs w:val="22"/>
                <w:highlight w:val="none"/>
                <w:lang w:bidi="ar"/>
              </w:rPr>
              <w:t>规定的</w:t>
            </w:r>
            <w:r>
              <w:rPr>
                <w:rFonts w:hint="eastAsia" w:ascii="仿宋_GB2312" w:hAnsi="仿宋_GB2312" w:eastAsia="仿宋_GB2312" w:cs="仿宋_GB2312"/>
                <w:color w:val="auto"/>
                <w:kern w:val="0"/>
                <w:sz w:val="22"/>
                <w:szCs w:val="22"/>
                <w:highlight w:val="none"/>
                <w:lang w:val="en-US" w:eastAsia="zh-CN" w:bidi="ar"/>
              </w:rPr>
              <w:t>医疗</w:t>
            </w:r>
            <w:r>
              <w:rPr>
                <w:rFonts w:hint="eastAsia" w:ascii="仿宋_GB2312" w:hAnsi="仿宋_GB2312" w:eastAsia="仿宋_GB2312" w:cs="仿宋_GB2312"/>
                <w:color w:val="auto"/>
                <w:kern w:val="0"/>
                <w:sz w:val="22"/>
                <w:szCs w:val="22"/>
                <w:highlight w:val="none"/>
                <w:lang w:bidi="ar"/>
              </w:rPr>
              <w:t>设置</w:t>
            </w:r>
            <w:r>
              <w:rPr>
                <w:rFonts w:hint="eastAsia" w:ascii="仿宋_GB2312" w:hAnsi="仿宋_GB2312" w:eastAsia="仿宋_GB2312" w:cs="仿宋_GB2312"/>
                <w:color w:val="auto"/>
                <w:kern w:val="0"/>
                <w:sz w:val="22"/>
                <w:szCs w:val="22"/>
                <w:highlight w:val="none"/>
                <w:lang w:val="en-US" w:eastAsia="zh-CN" w:bidi="ar"/>
              </w:rPr>
              <w:t>及</w:t>
            </w:r>
            <w:r>
              <w:rPr>
                <w:rFonts w:hint="eastAsia" w:ascii="仿宋_GB2312" w:hAnsi="仿宋_GB2312" w:eastAsia="仿宋_GB2312" w:cs="仿宋_GB2312"/>
                <w:color w:val="auto"/>
                <w:kern w:val="0"/>
                <w:sz w:val="22"/>
                <w:szCs w:val="22"/>
                <w:highlight w:val="none"/>
                <w:lang w:bidi="ar"/>
              </w:rPr>
              <w:t>执业标准</w:t>
            </w:r>
            <w:r>
              <w:rPr>
                <w:rFonts w:hint="eastAsia" w:ascii="仿宋_GB2312" w:hAnsi="仿宋_GB2312" w:eastAsia="仿宋_GB2312" w:cs="仿宋_GB2312"/>
                <w:color w:val="auto"/>
                <w:kern w:val="0"/>
                <w:sz w:val="22"/>
                <w:szCs w:val="22"/>
                <w:highlight w:val="none"/>
                <w:u w:val="none"/>
                <w:vertAlign w:val="baseline"/>
                <w:lang w:bidi="ar"/>
              </w:rPr>
              <w:t>的；</w:t>
            </w:r>
            <w:r>
              <w:rPr>
                <w:rFonts w:hint="eastAsia" w:ascii="仿宋_GB2312" w:hAnsi="仿宋_GB2312" w:eastAsia="仿宋_GB2312" w:cs="仿宋_GB2312"/>
                <w:color w:val="auto"/>
                <w:kern w:val="0"/>
                <w:sz w:val="22"/>
                <w:szCs w:val="22"/>
                <w:highlight w:val="none"/>
                <w:u w:val="none"/>
                <w:vertAlign w:val="baseline"/>
                <w:lang w:val="en-US" w:eastAsia="zh-CN" w:bidi="ar"/>
              </w:rPr>
              <w:t>其他企业社会机构是否已自主聘用医护人员或与医疗机构开展协议合作具备医护力量能提供医疗指导服务。</w:t>
            </w:r>
            <w:r>
              <w:rPr>
                <w:rFonts w:hint="eastAsia" w:ascii="仿宋_GB2312" w:hAnsi="仿宋_GB2312" w:eastAsia="仿宋_GB2312" w:cs="仿宋_GB2312"/>
                <w:color w:val="auto"/>
                <w:kern w:val="0"/>
                <w:sz w:val="22"/>
                <w:highlight w:val="none"/>
                <w:lang w:val="en-US" w:eastAsia="zh-CN" w:bidi="ar"/>
              </w:rPr>
              <w:t>“否”即为不合格。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color w:val="auto"/>
                <w:kern w:val="0"/>
                <w:sz w:val="22"/>
                <w:szCs w:val="22"/>
                <w:highlight w:val="none"/>
                <w:u w:val="none"/>
                <w:lang w:val="en-US" w:eastAsia="zh-CN" w:bidi="ar"/>
              </w:rPr>
            </w:pPr>
            <w:r>
              <w:rPr>
                <w:rFonts w:hint="eastAsia" w:ascii="仿宋_GB2312" w:hAnsi="宋体" w:eastAsia="仿宋_GB2312" w:cs="仿宋_GB2312"/>
                <w:i w:val="0"/>
                <w:color w:val="auto"/>
                <w:kern w:val="0"/>
                <w:sz w:val="22"/>
                <w:szCs w:val="22"/>
                <w:highlight w:val="none"/>
                <w:u w:val="none"/>
                <w:lang w:val="en-US" w:eastAsia="zh-CN" w:bidi="ar"/>
              </w:rPr>
              <w:t>4</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人员资质</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auto"/>
                <w:kern w:val="0"/>
                <w:sz w:val="22"/>
                <w:highlight w:val="none"/>
                <w:lang w:val="en-US" w:eastAsia="zh-CN" w:bidi="ar"/>
              </w:rPr>
            </w:pPr>
            <w:r>
              <w:rPr>
                <w:rFonts w:hint="eastAsia" w:ascii="仿宋_GB2312" w:hAnsi="仿宋_GB2312" w:eastAsia="仿宋_GB2312" w:cs="仿宋_GB2312"/>
                <w:i w:val="0"/>
                <w:color w:val="auto"/>
                <w:kern w:val="0"/>
                <w:sz w:val="22"/>
                <w:szCs w:val="22"/>
                <w:highlight w:val="none"/>
                <w:u w:val="none"/>
                <w:lang w:val="en-US" w:eastAsia="zh-CN" w:bidi="ar"/>
              </w:rPr>
              <w:t>医疗机构医护人员需持有卫健主管部门颁发医师及护士执业证书，医疗机构护理人员需持有人社部颁发技能人员职业资格证书。“否”即为不合格。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5</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医保管理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1.是否配备至少1名长期护理专职管理人员；</w:t>
            </w:r>
            <w:r>
              <w:rPr>
                <w:rFonts w:hint="eastAsia" w:ascii="仿宋_GB2312" w:hAnsi="仿宋_GB2312" w:eastAsia="仿宋_GB2312" w:cs="仿宋_GB2312"/>
                <w:color w:val="auto"/>
                <w:kern w:val="0"/>
                <w:sz w:val="22"/>
                <w:highlight w:val="none"/>
                <w:lang w:val="en-US" w:eastAsia="zh-CN" w:bidi="ar"/>
              </w:rPr>
              <w:t>2.是否配备执业医师或护士至少1名，护理服务人员达到10人。</w:t>
            </w:r>
            <w:r>
              <w:rPr>
                <w:rFonts w:hint="eastAsia" w:ascii="仿宋_GB2312" w:hAnsi="仿宋_GB2312" w:eastAsia="仿宋_GB2312" w:cs="仿宋_GB2312"/>
                <w:i w:val="0"/>
                <w:color w:val="auto"/>
                <w:kern w:val="0"/>
                <w:sz w:val="22"/>
                <w:szCs w:val="22"/>
                <w:highlight w:val="none"/>
                <w:u w:val="none"/>
                <w:lang w:val="en-US" w:eastAsia="zh-CN" w:bidi="ar"/>
              </w:rPr>
              <w:t>“否”即为不合格。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6</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制度建设</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是否符合长护险协议管理要求的护理服务管理制度、人员管理、财务制度、信息管理、档案管理制度。“否”即为不合格。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7</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信息系统</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是否已确定系统开发商，并已签订合作协议。“否”即为不合格。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1"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8</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医疗设备</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是否具备消毒、灭菌设备 (或与符合资质的消毒供应中心签订有合作协议) 。“否”即为不合格。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9"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9</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信用制度</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auto"/>
                <w:kern w:val="0"/>
                <w:sz w:val="22"/>
                <w:szCs w:val="22"/>
                <w:highlight w:val="none"/>
                <w:u w:val="none"/>
                <w:lang w:bidi="ar"/>
              </w:rPr>
            </w:pPr>
            <w:r>
              <w:rPr>
                <w:rFonts w:hint="eastAsia" w:ascii="仿宋_GB2312" w:hAnsi="仿宋_GB2312" w:eastAsia="仿宋_GB2312" w:cs="仿宋_GB2312"/>
                <w:i w:val="0"/>
                <w:color w:val="auto"/>
                <w:kern w:val="0"/>
                <w:sz w:val="22"/>
                <w:szCs w:val="22"/>
                <w:highlight w:val="none"/>
                <w:u w:val="none"/>
                <w:lang w:val="en-US" w:eastAsia="zh-CN" w:bidi="ar"/>
              </w:rPr>
              <w:t>机构是否未依法缴纳各项税费的，机构的法定代表人、主要负责人或实际控制人是否有被列入失信人名单的，“是”即为不合格。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仿宋_GB2312" w:hAnsi="宋体" w:eastAsia="仿宋_GB2312" w:cs="仿宋_GB2312"/>
                <w:i w:val="0"/>
                <w:color w:val="auto"/>
                <w:sz w:val="22"/>
                <w:szCs w:val="22"/>
                <w:highlight w:val="none"/>
                <w:u w:val="none"/>
                <w:lang w:val="en-US"/>
              </w:rPr>
            </w:pPr>
            <w:r>
              <w:rPr>
                <w:rFonts w:hint="eastAsia" w:ascii="仿宋_GB2312" w:hAnsi="宋体" w:eastAsia="仿宋_GB2312" w:cs="仿宋_GB2312"/>
                <w:i w:val="0"/>
                <w:color w:val="auto"/>
                <w:kern w:val="0"/>
                <w:sz w:val="22"/>
                <w:szCs w:val="22"/>
                <w:highlight w:val="none"/>
                <w:u w:val="none"/>
                <w:lang w:val="en-US" w:eastAsia="zh-CN" w:bidi="ar"/>
              </w:rPr>
              <w:t>10</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其他不予受理的情形</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机构是否有国家、省医保部门规定的其他不予受理情形，“是”即为不合格。</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0" w:hRule="atLeast"/>
        </w:trPr>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8"/>
                <w:rFonts w:hint="default"/>
                <w:color w:val="auto"/>
                <w:highlight w:val="none"/>
                <w:lang w:val="en-US" w:eastAsia="zh-CN" w:bidi="ar"/>
              </w:rPr>
            </w:pPr>
            <w:r>
              <w:rPr>
                <w:rStyle w:val="18"/>
                <w:rFonts w:hint="default"/>
                <w:color w:val="auto"/>
                <w:highlight w:val="none"/>
                <w:lang w:val="en-US" w:eastAsia="zh-CN" w:bidi="ar"/>
              </w:rPr>
              <w:t>指标</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Style w:val="18"/>
                <w:rFonts w:hint="default"/>
                <w:color w:val="auto"/>
                <w:highlight w:val="none"/>
                <w:lang w:val="en-US" w:eastAsia="zh-CN" w:bidi="ar"/>
              </w:rPr>
              <w:t>类型</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Style w:val="18"/>
                <w:rFonts w:hint="default"/>
                <w:color w:val="auto"/>
                <w:highlight w:val="none"/>
                <w:lang w:val="en-US" w:eastAsia="zh-CN" w:bidi="ar"/>
              </w:rPr>
              <w:t>序号</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Style w:val="18"/>
                <w:rFonts w:hint="default"/>
                <w:color w:val="auto"/>
                <w:highlight w:val="none"/>
                <w:lang w:val="en-US" w:eastAsia="zh-CN" w:bidi="ar"/>
              </w:rPr>
              <w:t>评估项目及分值</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Style w:val="18"/>
                <w:rFonts w:hint="default"/>
                <w:color w:val="auto"/>
                <w:highlight w:val="none"/>
                <w:lang w:val="en-US" w:eastAsia="zh-CN" w:bidi="ar"/>
              </w:rPr>
              <w:t>评  分  标  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8"/>
                <w:rFonts w:hint="default"/>
                <w:color w:val="auto"/>
                <w:highlight w:val="none"/>
                <w:lang w:val="en-US" w:eastAsia="zh-CN" w:bidi="ar"/>
              </w:rPr>
            </w:pPr>
            <w:r>
              <w:rPr>
                <w:rStyle w:val="18"/>
                <w:rFonts w:hint="default"/>
                <w:color w:val="auto"/>
                <w:highlight w:val="none"/>
                <w:lang w:val="en-US" w:eastAsia="zh-CN" w:bidi="ar"/>
              </w:rPr>
              <w:t>自评</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Style w:val="18"/>
                <w:rFonts w:hint="default"/>
                <w:color w:val="auto"/>
                <w:highlight w:val="none"/>
                <w:lang w:val="en-US" w:eastAsia="zh-CN" w:bidi="ar"/>
              </w:rPr>
              <w:t>情况</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18"/>
                <w:rFonts w:hint="default"/>
                <w:color w:val="auto"/>
                <w:highlight w:val="none"/>
                <w:lang w:val="en-US" w:eastAsia="zh-CN" w:bidi="ar"/>
              </w:rPr>
            </w:pPr>
            <w:r>
              <w:rPr>
                <w:rStyle w:val="18"/>
                <w:rFonts w:hint="default"/>
                <w:color w:val="auto"/>
                <w:highlight w:val="none"/>
                <w:lang w:val="en-US" w:eastAsia="zh-CN" w:bidi="ar"/>
              </w:rPr>
              <w:t>评估</w:t>
            </w:r>
          </w:p>
          <w:p>
            <w:pPr>
              <w:keepNext w:val="0"/>
              <w:keepLines w:val="0"/>
              <w:widowControl/>
              <w:suppressLineNumbers w:val="0"/>
              <w:spacing w:before="0" w:beforeAutospacing="0" w:after="0" w:afterAutospacing="0"/>
              <w:ind w:left="0" w:right="0"/>
              <w:jc w:val="center"/>
              <w:textAlignment w:val="center"/>
              <w:rPr>
                <w:rFonts w:hint="eastAsia" w:ascii="黑体" w:hAnsi="宋体" w:eastAsia="黑体" w:cs="黑体"/>
                <w:i w:val="0"/>
                <w:color w:val="auto"/>
                <w:sz w:val="24"/>
                <w:szCs w:val="24"/>
                <w:highlight w:val="none"/>
                <w:u w:val="none"/>
              </w:rPr>
            </w:pPr>
            <w:r>
              <w:rPr>
                <w:rStyle w:val="18"/>
                <w:rFonts w:hint="default"/>
                <w:color w:val="auto"/>
                <w:highlight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b/>
                <w:i w:val="0"/>
                <w:color w:val="auto"/>
                <w:kern w:val="0"/>
                <w:sz w:val="22"/>
                <w:szCs w:val="22"/>
                <w:highlight w:val="none"/>
                <w:u w:val="none"/>
                <w:lang w:val="en-US" w:eastAsia="zh-CN" w:bidi="ar"/>
              </w:rPr>
            </w:pPr>
            <w:r>
              <w:rPr>
                <w:rFonts w:hint="eastAsia" w:ascii="仿宋_GB2312" w:hAnsi="宋体" w:eastAsia="仿宋_GB2312" w:cs="仿宋_GB2312"/>
                <w:b/>
                <w:i w:val="0"/>
                <w:color w:val="auto"/>
                <w:kern w:val="0"/>
                <w:sz w:val="22"/>
                <w:szCs w:val="22"/>
                <w:highlight w:val="none"/>
                <w:u w:val="none"/>
                <w:lang w:val="en-US" w:eastAsia="zh-CN" w:bidi="ar"/>
              </w:rPr>
              <w:t>评估</w:t>
            </w:r>
          </w:p>
          <w:p>
            <w:pPr>
              <w:keepNext w:val="0"/>
              <w:keepLines w:val="0"/>
              <w:widowControl/>
              <w:suppressLineNumbers w:val="0"/>
              <w:spacing w:before="0" w:beforeAutospacing="0" w:after="0" w:afterAutospacing="0"/>
              <w:ind w:left="0" w:right="0"/>
              <w:jc w:val="both"/>
              <w:textAlignment w:val="center"/>
              <w:rPr>
                <w:rFonts w:hint="eastAsia" w:ascii="仿宋_GB2312" w:hAnsi="宋体" w:eastAsia="仿宋_GB2312" w:cs="仿宋_GB2312"/>
                <w:b/>
                <w:i w:val="0"/>
                <w:color w:val="auto"/>
                <w:sz w:val="22"/>
                <w:szCs w:val="22"/>
                <w:highlight w:val="none"/>
                <w:u w:val="none"/>
              </w:rPr>
            </w:pPr>
            <w:r>
              <w:rPr>
                <w:rFonts w:hint="eastAsia" w:ascii="仿宋_GB2312" w:hAnsi="宋体" w:eastAsia="仿宋_GB2312" w:cs="仿宋_GB2312"/>
                <w:b/>
                <w:i w:val="0"/>
                <w:color w:val="auto"/>
                <w:kern w:val="0"/>
                <w:sz w:val="22"/>
                <w:szCs w:val="22"/>
                <w:highlight w:val="none"/>
                <w:u w:val="none"/>
                <w:lang w:val="en-US" w:eastAsia="zh-CN" w:bidi="ar"/>
              </w:rPr>
              <w:t>指标</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1</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管理制度（14）</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遵守国家有关医疗、养老服务管理和价格管理的法律、法规、标准和规范；严格执行长期护理保险的有关规定，建立财务管理制度、照护人员管理制度、信息系统管理制度、实名制管理制度、政策宣传与培训制度、应急制度、档案管理等制度得14分，制度不健全或执行不到位的缺一项扣2分，此项评分指标对应分值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2</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档案管理（25分）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符合档案管理要求，有专人管理、固定存放区域、一人一档的，得6分，缺一项扣2分，未达到要求的不得分。失能人员档案标识清楚、资料齐全的等相关资料的，得10分，缺一项扣2分，此分扣完为止。实行电子化档案管理的，得4分。严格执行档案管理制度，档案资料完备，能根据工作要求及时调阅，达到要求的得5分，未达到要求的不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3</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财务制度（20分）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未提供近一年（不足一年的自开办之日算起）财务报表此项不得分。未以单位名称开设基本账户扣2分，所有资金收支未通过本单位的基本账户扣2分。根据会计制度的规定建立相应的会计账目和电算化管理的明细账目，未建立扣10分，制度执行不到位，未做到账账相符、账实相符，发现一例扣1分。未配备财务人员扣6分，配备兼职财务人员扣3分。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4"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4</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结算管理（10分）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制定了规范的长期护理保险护理和结算流程，有相关纸质文件存档并上墙的，得5分。承诺通过信息系统改造与医保端进行定期结算，得5分。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9"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5</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人员参保情况（5分）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按规定为所有从业人员在本单位按时 (自合同之日起)、足额缴纳社会保险，得5分。发现一例未依法参保的，扣5分。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8"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6</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信息系统管理（10分）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建立包括网络安全管理、终端安全管理、数据安全管理、个人隐私保护、医保系统灾难应急流程制度。未建立制度扣5分，制度不健全或执行不到位的，每一个制度扣1分。配备长护险信息系统联网设施设备，并与其它网络间有安全隔离措施，与互联网物理隔离，未按要求配备，扣2分。严格按照医保局最新政策业务需求和技术规范完成配套改造工作，未按要求改造的，扣2分。未配备专业维护人员扣1分。扣完为止。</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7</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服务价格管理（5分）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公开护理服务项目收费价格标准，得3分。护理服务项目价格在相关部门定价范围内，得2分。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8</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长护险政策宣传（5分）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设立长期护理保险咨询服务台和意见箱的得1分。公开投诉、举报、监督方式的，得1分。设立宣传栏、电子屏等宣传长护险政策、办理流程的，得3分。未设立或设立未宣传的扣3分，宣传内容不规范的，扣2分。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9</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设置监控设备（15分）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有智能监控设备的，且每次上门跟踪服务地点定位、服务时间长监控、服务结果确认评价可追溯的，得5分，缺一项不得分。在实际工作中已经执行(3个月以上)、能提供监控记录及执行情况报告的，得10分。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5"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10</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医护人员资质（26分）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1.配备1名</w:t>
            </w:r>
            <w:r>
              <w:rPr>
                <w:rStyle w:val="19"/>
                <w:rFonts w:hAnsi="宋体"/>
                <w:color w:val="auto"/>
                <w:highlight w:val="none"/>
                <w:lang w:val="en-US" w:eastAsia="zh-CN" w:bidi="ar"/>
              </w:rPr>
              <w:t>具有主治医师或以上职称的</w:t>
            </w:r>
            <w:r>
              <w:rPr>
                <w:rFonts w:hint="eastAsia" w:ascii="仿宋_GB2312" w:hAnsi="宋体" w:eastAsia="仿宋_GB2312" w:cs="仿宋_GB2312"/>
                <w:i w:val="0"/>
                <w:color w:val="auto"/>
                <w:kern w:val="0"/>
                <w:sz w:val="22"/>
                <w:szCs w:val="22"/>
                <w:highlight w:val="none"/>
                <w:u w:val="none"/>
                <w:lang w:val="en-US" w:eastAsia="zh-CN" w:bidi="ar"/>
              </w:rPr>
              <w:t>执业医师（专业类别应为全科、内科、中医科或康复科）注册满三个月及以上，得5分。2.配备1名</w:t>
            </w:r>
            <w:r>
              <w:rPr>
                <w:rStyle w:val="19"/>
                <w:rFonts w:hAnsi="宋体"/>
                <w:color w:val="auto"/>
                <w:highlight w:val="none"/>
                <w:lang w:val="en-US" w:eastAsia="zh-CN" w:bidi="ar"/>
              </w:rPr>
              <w:t>主管护师或以上职称的</w:t>
            </w:r>
            <w:r>
              <w:rPr>
                <w:rFonts w:hint="eastAsia" w:ascii="仿宋_GB2312" w:hAnsi="宋体" w:eastAsia="仿宋_GB2312" w:cs="仿宋_GB2312"/>
                <w:i w:val="0"/>
                <w:color w:val="auto"/>
                <w:kern w:val="0"/>
                <w:sz w:val="22"/>
                <w:szCs w:val="22"/>
                <w:highlight w:val="none"/>
                <w:u w:val="none"/>
                <w:lang w:val="en-US" w:eastAsia="zh-CN" w:bidi="ar"/>
              </w:rPr>
              <w:t>执业护士注册满三个月以上，得5分。3.配备由人社部颁发技能人员职业资格证书（国家人社政务服务平台可查询）的护理员达到10人，得5分。在此基础上，每增加1人，加0.5分，最高加5分。4.具备职业资格证书的护理人员中，具备护士执业证书的在20%以上，得4分，10%以上，得2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b/>
                <w:i w:val="0"/>
                <w:color w:val="auto"/>
                <w:sz w:val="22"/>
                <w:szCs w:val="22"/>
                <w:highlight w:val="none"/>
                <w:u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11</w:t>
            </w:r>
          </w:p>
        </w:tc>
        <w:tc>
          <w:tcPr>
            <w:tcW w:w="14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服务场所设施配备（15分）</w:t>
            </w:r>
          </w:p>
        </w:tc>
        <w:tc>
          <w:tcPr>
            <w:tcW w:w="102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i w:val="0"/>
                <w:color w:val="auto"/>
                <w:kern w:val="0"/>
                <w:sz w:val="22"/>
                <w:szCs w:val="22"/>
                <w:highlight w:val="none"/>
                <w:u w:val="none"/>
                <w:lang w:val="en-US" w:eastAsia="zh-CN" w:bidi="ar"/>
              </w:rPr>
              <w:t>1.房屋建筑面积不少于30平方米得5分，在此基础上，每</w:t>
            </w:r>
            <w:r>
              <w:rPr>
                <w:rStyle w:val="19"/>
                <w:rFonts w:hAnsi="宋体"/>
                <w:color w:val="auto"/>
                <w:highlight w:val="none"/>
                <w:lang w:val="en-US" w:eastAsia="zh-CN" w:bidi="ar"/>
              </w:rPr>
              <w:t>增加</w:t>
            </w:r>
            <w:r>
              <w:rPr>
                <w:rStyle w:val="19"/>
                <w:rFonts w:hint="eastAsia" w:hAnsi="宋体"/>
                <w:color w:val="auto"/>
                <w:highlight w:val="none"/>
                <w:lang w:val="en-US" w:eastAsia="zh-CN" w:bidi="ar"/>
              </w:rPr>
              <w:t>10</w:t>
            </w:r>
            <w:r>
              <w:rPr>
                <w:rFonts w:hint="eastAsia" w:ascii="仿宋_GB2312" w:hAnsi="宋体" w:eastAsia="仿宋_GB2312" w:cs="仿宋_GB2312"/>
                <w:i w:val="0"/>
                <w:color w:val="auto"/>
                <w:kern w:val="0"/>
                <w:sz w:val="22"/>
                <w:szCs w:val="22"/>
                <w:highlight w:val="none"/>
                <w:u w:val="none"/>
                <w:lang w:val="en-US" w:eastAsia="zh-CN" w:bidi="ar"/>
              </w:rPr>
              <w:t>平方米加1分，最高加5分。2.业务用房设置咨询服务区、业务办公区、档案管理区、培训服务区、物资存放区，得5分。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eastAsia" w:ascii="仿宋_GB2312" w:hAnsi="宋体" w:eastAsia="仿宋_GB2312" w:cs="仿宋_GB2312"/>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42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宋体" w:eastAsia="仿宋_GB2312" w:cs="仿宋_GB2312"/>
                <w:i w:val="0"/>
                <w:color w:val="auto"/>
                <w:sz w:val="22"/>
                <w:szCs w:val="22"/>
                <w:highlight w:val="none"/>
                <w:u w:val="none"/>
              </w:rPr>
            </w:pPr>
            <w:r>
              <w:rPr>
                <w:rFonts w:hint="eastAsia" w:ascii="仿宋_GB2312" w:hAnsi="宋体" w:eastAsia="仿宋_GB2312" w:cs="仿宋_GB2312"/>
                <w:b/>
                <w:i w:val="0"/>
                <w:color w:val="auto"/>
                <w:kern w:val="0"/>
                <w:sz w:val="22"/>
                <w:szCs w:val="22"/>
                <w:highlight w:val="none"/>
                <w:u w:val="none"/>
                <w:lang w:val="en-US" w:eastAsia="zh-CN" w:bidi="ar"/>
              </w:rPr>
              <w:t>评估指标合计分值：150分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28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Arial" w:hAnsi="Arial" w:eastAsia="宋体" w:cs="Arial"/>
                <w:i w:val="0"/>
                <w:color w:val="auto"/>
                <w:sz w:val="22"/>
                <w:szCs w:val="22"/>
                <w:highlight w:val="none"/>
                <w:u w:val="none"/>
              </w:rPr>
            </w:pPr>
            <w:r>
              <w:rPr>
                <w:rStyle w:val="20"/>
                <w:color w:val="auto"/>
                <w:highlight w:val="none"/>
                <w:lang w:val="en-US" w:eastAsia="zh-CN" w:bidi="ar"/>
              </w:rPr>
              <w:t>评估指标合计得分：</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Arial" w:hAnsi="Arial" w:eastAsia="宋体" w:cs="Arial"/>
                <w:i w:val="0"/>
                <w:color w:val="auto"/>
                <w:sz w:val="22"/>
                <w:szCs w:val="22"/>
                <w:highlight w:val="none"/>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suppressLineNumbers w:val="0"/>
              <w:spacing w:before="0" w:beforeAutospacing="0" w:after="0" w:afterAutospacing="0"/>
              <w:ind w:left="0" w:right="0"/>
              <w:jc w:val="left"/>
              <w:rPr>
                <w:rFonts w:hint="default" w:ascii="Arial" w:hAnsi="Arial" w:eastAsia="宋体" w:cs="Arial"/>
                <w:i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42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楷体" w:hAnsi="楷体" w:eastAsia="楷体" w:cs="楷体"/>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bidi="ar"/>
              </w:rPr>
              <w:t>备注：基础指标有一项不合格，评估结果即为不合格；评估指标合计得分120分以下，评估结果即为不合格。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28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default" w:ascii="Arial" w:hAnsi="Arial" w:eastAsia="宋体" w:cs="Arial"/>
                <w:i w:val="0"/>
                <w:color w:val="auto"/>
                <w:sz w:val="22"/>
                <w:szCs w:val="22"/>
                <w:highlight w:val="none"/>
                <w:u w:val="none"/>
              </w:rPr>
            </w:pPr>
            <w:r>
              <w:rPr>
                <w:rFonts w:hint="eastAsia" w:ascii="楷体" w:hAnsi="楷体" w:eastAsia="楷体" w:cs="楷体"/>
                <w:i w:val="0"/>
                <w:color w:val="auto"/>
                <w:kern w:val="0"/>
                <w:sz w:val="22"/>
                <w:szCs w:val="22"/>
                <w:highlight w:val="none"/>
                <w:u w:val="none"/>
                <w:lang w:val="en-US" w:eastAsia="zh-CN" w:bidi="ar"/>
              </w:rPr>
              <w:t>申请单位法人 (签章)：                                       现场核查人员签名：</w:t>
            </w:r>
          </w:p>
        </w:tc>
      </w:tr>
    </w:tbl>
    <w:p>
      <w:pPr>
        <w:rPr>
          <w:rFonts w:hint="default"/>
          <w:color w:val="auto"/>
          <w:highlight w:val="none"/>
          <w:lang w:val="en-US" w:eastAsia="zh-CN"/>
        </w:rPr>
      </w:pPr>
    </w:p>
    <w:p>
      <w:pPr>
        <w:pStyle w:val="4"/>
        <w:ind w:left="0" w:leftChars="0" w:firstLine="0" w:firstLineChars="0"/>
        <w:rPr>
          <w:rFonts w:hint="eastAsia" w:ascii="仿宋_GB2312" w:hAnsi="仿宋_GB2312" w:eastAsia="仿宋_GB2312" w:cs="仿宋_GB2312"/>
          <w:kern w:val="2"/>
          <w:sz w:val="32"/>
          <w:szCs w:val="32"/>
          <w:lang w:val="en-US" w:eastAsia="zh-CN" w:bidi="ar-SA"/>
        </w:rPr>
      </w:pPr>
    </w:p>
    <w:p>
      <w:pPr>
        <w:pStyle w:val="4"/>
        <w:rPr>
          <w:rFonts w:hint="default" w:ascii="仿宋_GB2312" w:hAnsi="仿宋_GB2312" w:eastAsia="仿宋_GB2312" w:cs="仿宋_GB2312"/>
          <w:kern w:val="2"/>
          <w:sz w:val="32"/>
          <w:szCs w:val="32"/>
          <w:lang w:val="en-US" w:eastAsia="zh-CN" w:bidi="ar-SA"/>
        </w:rPr>
      </w:pPr>
    </w:p>
    <w:p>
      <w:pPr>
        <w:rPr>
          <w:rFonts w:hint="default"/>
          <w:lang w:val="en-US" w:eastAsia="zh-CN"/>
        </w:rPr>
        <w:sectPr>
          <w:footerReference r:id="rId4" w:type="default"/>
          <w:pgSz w:w="16838" w:h="11906" w:orient="landscape"/>
          <w:pgMar w:top="1531" w:right="2098" w:bottom="1531" w:left="1984" w:header="851" w:footer="1531" w:gutter="0"/>
          <w:pgNumType w:fmt="decimal"/>
          <w:cols w:space="0" w:num="1"/>
          <w:rtlGutter w:val="0"/>
          <w:docGrid w:type="lines" w:linePitch="312" w:charSpace="0"/>
        </w:sectPr>
      </w:pPr>
      <w:r>
        <w:rPr>
          <w:rFonts w:hint="default"/>
          <w:lang w:val="en-US" w:eastAsia="zh-CN"/>
        </w:rPr>
        <w:br w:type="page"/>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A553C0"/>
    <w:multiLevelType w:val="singleLevel"/>
    <w:tmpl w:val="FDA553C0"/>
    <w:lvl w:ilvl="0" w:tentative="0">
      <w:start w:val="4"/>
      <w:numFmt w:val="chineseCounting"/>
      <w:suff w:val="nothing"/>
      <w:lvlText w:val="%1、"/>
      <w:lvlJc w:val="left"/>
      <w:rPr>
        <w:rFonts w:hint="eastAsia"/>
      </w:rPr>
    </w:lvl>
  </w:abstractNum>
  <w:abstractNum w:abstractNumId="1">
    <w:nsid w:val="06D5FABE"/>
    <w:multiLevelType w:val="singleLevel"/>
    <w:tmpl w:val="06D5FABE"/>
    <w:lvl w:ilvl="0" w:tentative="0">
      <w:start w:val="1"/>
      <w:numFmt w:val="bullet"/>
      <w:pStyle w:val="3"/>
      <w:lvlText w:val=""/>
      <w:lvlJc w:val="left"/>
      <w:pPr>
        <w:tabs>
          <w:tab w:val="left" w:pos="780"/>
        </w:tabs>
        <w:ind w:left="7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MWUyNjJhNTVmNjQzNGM1YTE0ZWQzNWNkOTBkM2EifQ=="/>
  </w:docVars>
  <w:rsids>
    <w:rsidRoot w:val="75E10A60"/>
    <w:rsid w:val="75E10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ind w:left="120"/>
    </w:pPr>
    <w:rPr>
      <w:rFonts w:ascii="仿宋_GB2312" w:hAnsi="仿宋_GB2312" w:eastAsia="仿宋_GB2312" w:cs="仿宋_GB2312"/>
      <w:sz w:val="32"/>
      <w:szCs w:val="32"/>
      <w:lang w:val="zh-CN" w:eastAsia="zh-CN" w:bidi="zh-CN"/>
    </w:rPr>
  </w:style>
  <w:style w:type="paragraph" w:styleId="3">
    <w:name w:val="List Bullet 2"/>
    <w:basedOn w:val="1"/>
    <w:uiPriority w:val="0"/>
    <w:pPr>
      <w:numPr>
        <w:ilvl w:val="0"/>
        <w:numId w:val="1"/>
      </w:numPr>
    </w:pPr>
  </w:style>
  <w:style w:type="paragraph" w:styleId="4">
    <w:name w:val="Body Text Indent 2"/>
    <w:basedOn w:val="1"/>
    <w:qFormat/>
    <w:uiPriority w:val="0"/>
    <w:pPr>
      <w:keepNext w:val="0"/>
      <w:keepLines w:val="0"/>
      <w:widowControl w:val="0"/>
      <w:suppressLineNumbers w:val="0"/>
      <w:spacing w:afterLines="0" w:afterAutospacing="0" w:line="560" w:lineRule="exact"/>
      <w:ind w:left="0" w:leftChars="0" w:firstLine="420" w:firstLineChars="200"/>
      <w:jc w:val="both"/>
    </w:pPr>
    <w:rPr>
      <w:rFonts w:hint="default" w:ascii="Times New Roman" w:hAnsi="Times New Roman" w:eastAsia="仿宋_GB2312" w:cs="Times New Roman"/>
      <w:kern w:val="2"/>
      <w:sz w:val="32"/>
      <w:szCs w:val="32"/>
      <w:lang w:val="en-US" w:eastAsia="zh-CN" w:bidi="ar"/>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jc w:val="left"/>
    </w:pPr>
    <w:rPr>
      <w:rFonts w:ascii="Calibri" w:hAnsi="Calibri" w:eastAsia="宋体"/>
      <w:kern w:val="0"/>
      <w:sz w:val="24"/>
      <w:szCs w:val="24"/>
    </w:rPr>
  </w:style>
  <w:style w:type="paragraph" w:styleId="7">
    <w:name w:val="Body Text First Indent"/>
    <w:basedOn w:val="2"/>
    <w:next w:val="1"/>
    <w:qFormat/>
    <w:uiPriority w:val="0"/>
    <w:pPr>
      <w:widowControl w:val="0"/>
      <w:spacing w:line="15884" w:lineRule="exact"/>
      <w:ind w:firstLine="420"/>
      <w:jc w:val="both"/>
    </w:pPr>
    <w:rPr>
      <w:rFonts w:ascii="Calibri" w:hAnsi="Calibri" w:eastAsia="Calibri" w:cs="Times New Roman"/>
      <w:kern w:val="1"/>
      <w:sz w:val="28"/>
      <w:szCs w:val="24"/>
      <w:lang w:val="en-US" w:eastAsia="zh-CN" w:bidi="ar-SA"/>
    </w:rPr>
  </w:style>
  <w:style w:type="table" w:customStyle="1" w:styleId="10">
    <w:name w:val="Table Normal"/>
    <w:semiHidden/>
    <w:unhideWhenUsed/>
    <w:qFormat/>
    <w:uiPriority w:val="0"/>
    <w:tblPr>
      <w:tblCellMar>
        <w:top w:w="0" w:type="dxa"/>
        <w:left w:w="0" w:type="dxa"/>
        <w:bottom w:w="0" w:type="dxa"/>
        <w:right w:w="0" w:type="dxa"/>
      </w:tblCellMar>
    </w:tblPr>
  </w:style>
  <w:style w:type="character" w:customStyle="1" w:styleId="11">
    <w:name w:val="font71"/>
    <w:basedOn w:val="9"/>
    <w:qFormat/>
    <w:uiPriority w:val="0"/>
    <w:rPr>
      <w:rFonts w:hint="eastAsia" w:ascii="方正小标宋简体" w:hAnsi="方正小标宋简体" w:eastAsia="方正小标宋简体" w:cs="方正小标宋简体"/>
      <w:color w:val="000000"/>
      <w:sz w:val="48"/>
      <w:szCs w:val="48"/>
      <w:u w:val="none"/>
    </w:rPr>
  </w:style>
  <w:style w:type="character" w:customStyle="1" w:styleId="12">
    <w:name w:val="font01"/>
    <w:basedOn w:val="9"/>
    <w:qFormat/>
    <w:uiPriority w:val="0"/>
    <w:rPr>
      <w:rFonts w:hint="eastAsia" w:ascii="仿宋_GB2312" w:eastAsia="仿宋_GB2312" w:cs="仿宋_GB2312"/>
      <w:color w:val="FF0000"/>
      <w:sz w:val="22"/>
      <w:szCs w:val="22"/>
      <w:u w:val="none"/>
    </w:rPr>
  </w:style>
  <w:style w:type="character" w:customStyle="1" w:styleId="13">
    <w:name w:val="font23"/>
    <w:basedOn w:val="9"/>
    <w:qFormat/>
    <w:uiPriority w:val="0"/>
    <w:rPr>
      <w:rFonts w:hint="eastAsia" w:ascii="仿宋_GB2312" w:eastAsia="仿宋_GB2312" w:cs="仿宋_GB2312"/>
      <w:color w:val="000000"/>
      <w:sz w:val="22"/>
      <w:szCs w:val="22"/>
      <w:u w:val="none"/>
    </w:rPr>
  </w:style>
  <w:style w:type="character" w:customStyle="1" w:styleId="14">
    <w:name w:val="font91"/>
    <w:basedOn w:val="9"/>
    <w:qFormat/>
    <w:uiPriority w:val="0"/>
    <w:rPr>
      <w:rFonts w:hint="eastAsia" w:ascii="仿宋_GB2312" w:eastAsia="仿宋_GB2312" w:cs="仿宋_GB2312"/>
      <w:color w:val="00B050"/>
      <w:sz w:val="22"/>
      <w:szCs w:val="22"/>
      <w:u w:val="none"/>
    </w:rPr>
  </w:style>
  <w:style w:type="character" w:customStyle="1" w:styleId="15">
    <w:name w:val="font161"/>
    <w:basedOn w:val="9"/>
    <w:qFormat/>
    <w:uiPriority w:val="0"/>
    <w:rPr>
      <w:rFonts w:hint="eastAsia" w:ascii="宋体" w:hAnsi="宋体" w:eastAsia="宋体" w:cs="宋体"/>
      <w:color w:val="000000"/>
      <w:sz w:val="22"/>
      <w:szCs w:val="22"/>
      <w:u w:val="none"/>
    </w:rPr>
  </w:style>
  <w:style w:type="character" w:customStyle="1" w:styleId="16">
    <w:name w:val="font221"/>
    <w:basedOn w:val="9"/>
    <w:qFormat/>
    <w:uiPriority w:val="0"/>
    <w:rPr>
      <w:rFonts w:hint="eastAsia" w:ascii="仿宋" w:hAnsi="仿宋" w:eastAsia="仿宋" w:cs="仿宋"/>
      <w:b/>
      <w:color w:val="000000"/>
      <w:sz w:val="22"/>
      <w:szCs w:val="22"/>
      <w:u w:val="none"/>
    </w:rPr>
  </w:style>
  <w:style w:type="character" w:customStyle="1" w:styleId="17">
    <w:name w:val="font31"/>
    <w:basedOn w:val="9"/>
    <w:qFormat/>
    <w:uiPriority w:val="0"/>
    <w:rPr>
      <w:rFonts w:hint="eastAsia" w:ascii="楷体" w:hAnsi="楷体" w:eastAsia="楷体" w:cs="楷体"/>
      <w:color w:val="000000"/>
      <w:sz w:val="22"/>
      <w:szCs w:val="22"/>
      <w:u w:val="none"/>
    </w:rPr>
  </w:style>
  <w:style w:type="character" w:customStyle="1" w:styleId="18">
    <w:name w:val="font101"/>
    <w:basedOn w:val="9"/>
    <w:qFormat/>
    <w:uiPriority w:val="0"/>
    <w:rPr>
      <w:rFonts w:ascii="黑体" w:hAnsi="宋体" w:eastAsia="黑体" w:cs="黑体"/>
      <w:color w:val="000000"/>
      <w:sz w:val="22"/>
      <w:szCs w:val="22"/>
      <w:u w:val="none"/>
    </w:rPr>
  </w:style>
  <w:style w:type="character" w:customStyle="1" w:styleId="19">
    <w:name w:val="font41"/>
    <w:basedOn w:val="9"/>
    <w:qFormat/>
    <w:uiPriority w:val="0"/>
    <w:rPr>
      <w:rFonts w:hint="eastAsia" w:ascii="仿宋_GB2312" w:eastAsia="仿宋_GB2312" w:cs="仿宋_GB2312"/>
      <w:color w:val="FF0000"/>
      <w:sz w:val="22"/>
      <w:szCs w:val="22"/>
      <w:u w:val="none"/>
    </w:rPr>
  </w:style>
  <w:style w:type="character" w:customStyle="1" w:styleId="20">
    <w:name w:val="font13"/>
    <w:basedOn w:val="9"/>
    <w:qFormat/>
    <w:uiPriority w:val="0"/>
    <w:rPr>
      <w:rFonts w:hint="eastAsia" w:ascii="仿宋" w:hAnsi="仿宋" w:eastAsia="仿宋" w:cs="仿宋"/>
      <w:b/>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11914</Words>
  <Characters>12084</Characters>
  <Lines>0</Lines>
  <Paragraphs>0</Paragraphs>
  <TotalTime>1</TotalTime>
  <ScaleCrop>false</ScaleCrop>
  <LinksUpToDate>false</LinksUpToDate>
  <CharactersWithSpaces>12268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2023-05-24T02:28:00Z</dcterms:created>
  <dc:creator>王炎耳东</dc:creator>
  <cp:lastModifiedBy>王炎耳东</cp:lastModifiedBy>
  <dcterms:modified xsi:type="dcterms:W3CDTF">2023-05-24T02:29:44Z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6A7D012F45974BC2B8101F41EFD966C6_11</vt:lpwstr>
  </property>
</Properties>
</file>